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D9DC46C">
      <w:pPr>
        <w:pStyle w:val="2"/>
        <w:keepNext w:val="0"/>
        <w:keepLines w:val="0"/>
        <w:spacing w:before="480"/>
        <w:rPr>
          <w:b/>
          <w:bCs/>
          <w:sz w:val="46"/>
          <w:szCs w:val="46"/>
        </w:rPr>
        <w:sectPr>
          <w:headerReference r:id="rId5" w:type="default"/>
          <w:footerReference r:id="rId6" w:type="default"/>
          <w:pgSz w:w="12240" w:h="15840"/>
          <w:pgMar w:top="144" w:right="0" w:bottom="0" w:left="0" w:header="720" w:footer="720" w:gutter="0"/>
          <w:pgNumType w:start="1"/>
          <w:cols w:space="720" w:num="1"/>
        </w:sectPr>
      </w:pPr>
      <w:bookmarkStart w:id="0" w:name="_7y4ddhg6nx07" w:colFirst="0" w:colLast="0"/>
      <w:bookmarkEnd w:id="0"/>
      <w:bookmarkStart w:id="83" w:name="_GoBack"/>
      <w:bookmarkEnd w:id="83"/>
      <w:r>
        <w:rPr>
          <w:b/>
          <w:bCs/>
          <w:sz w:val="46"/>
          <w:szCs w:val="46"/>
          <w:lang w:val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619125</wp:posOffset>
                </wp:positionH>
                <wp:positionV relativeFrom="paragraph">
                  <wp:posOffset>7311390</wp:posOffset>
                </wp:positionV>
                <wp:extent cx="3181350" cy="70485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" o:spid="_x0000_s1026" o:spt="1" style="position:absolute;left:0pt;margin-left:48.75pt;margin-top:575.7pt;height:55.5pt;width:250.5pt;z-index:251660288;mso-width-relative:page;mso-height-relative:page;" fillcolor="#FFFFFF" filled="t" stroked="f" coordsize="21600,21600" o:gfxdata="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B0oQ2s2AAAAAwBAAAPAAAAAAAAAAEA&#10;IAAAACIAAABkcnMvZG93bnJldi54bWxQSwECFAAUAAAACACHTuJAHhJLAw8CAAApBAAADgAAAAAA&#10;AAABACAAAAAnAQAAZHJzL2Uyb0RvYy54bWxQSwUGAAAAAAYABgBZAQAAqAUAAAAA&#10;">
                <v:fill on="t" focussize="0,0"/>
                <v:stroke on="f"/>
                <v:imagedata o:title=""/>
                <o:lock v:ext="edit" aspectratio="f"/>
              </v:rect>
            </w:pict>
          </mc:Fallback>
        </mc:AlternateContent>
      </w:r>
      <w:r>
        <w:rPr>
          <w:b/>
          <w:bCs/>
          <w:sz w:val="46"/>
          <w:szCs w:val="46"/>
          <w:lang w:val="en-US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-1189990</wp:posOffset>
            </wp:positionV>
            <wp:extent cx="7772400" cy="13070205"/>
            <wp:effectExtent l="19050" t="0" r="0" b="0"/>
            <wp:wrapSquare wrapText="bothSides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 preferRelativeResize="0"/>
                  </pic:nvPicPr>
                  <pic:blipFill>
                    <a:blip r:embed="rId8"/>
                    <a:srcRect l="11533" r="115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307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852D0A">
      <w:pPr>
        <w:pStyle w:val="2"/>
        <w:keepNext w:val="0"/>
        <w:keepLines w:val="0"/>
        <w:spacing w:before="480"/>
        <w:jc w:val="center"/>
        <w:rPr>
          <w:b/>
          <w:bCs/>
          <w:sz w:val="46"/>
          <w:szCs w:val="46"/>
        </w:rPr>
      </w:pPr>
      <w:bookmarkStart w:id="1" w:name="_bz366xcwlfo3" w:colFirst="0" w:colLast="0"/>
      <w:bookmarkEnd w:id="1"/>
      <w:bookmarkStart w:id="2" w:name="_11wncsfidc0w" w:colFirst="0" w:colLast="0"/>
      <w:bookmarkEnd w:id="2"/>
    </w:p>
    <w:p w14:paraId="381DAF40">
      <w:pPr>
        <w:pStyle w:val="2"/>
        <w:keepNext w:val="0"/>
        <w:keepLines w:val="0"/>
        <w:spacing w:before="480"/>
        <w:jc w:val="center"/>
        <w:rPr>
          <w:b/>
          <w:bCs/>
          <w:sz w:val="46"/>
          <w:szCs w:val="46"/>
        </w:rPr>
      </w:pPr>
      <w:bookmarkStart w:id="3" w:name="_tc9uiutof1kh" w:colFirst="0" w:colLast="0"/>
      <w:bookmarkEnd w:id="3"/>
    </w:p>
    <w:p w14:paraId="65D90330">
      <w:pPr>
        <w:pStyle w:val="2"/>
        <w:keepNext w:val="0"/>
        <w:keepLines w:val="0"/>
        <w:spacing w:before="480"/>
        <w:jc w:val="center"/>
        <w:rPr>
          <w:b/>
          <w:bCs/>
          <w:sz w:val="46"/>
          <w:szCs w:val="46"/>
        </w:rPr>
      </w:pPr>
      <w:bookmarkStart w:id="4" w:name="_ypb1t3aqonwl" w:colFirst="0" w:colLast="0"/>
      <w:bookmarkEnd w:id="4"/>
    </w:p>
    <w:p w14:paraId="515C3994">
      <w:pPr>
        <w:pStyle w:val="2"/>
        <w:keepNext w:val="0"/>
        <w:keepLines w:val="0"/>
        <w:spacing w:before="480"/>
        <w:jc w:val="center"/>
        <w:rPr>
          <w:b/>
          <w:bCs/>
          <w:sz w:val="46"/>
          <w:szCs w:val="46"/>
        </w:rPr>
      </w:pPr>
      <w:bookmarkStart w:id="5" w:name="_omympu6wj4jo" w:colFirst="0" w:colLast="0"/>
      <w:bookmarkEnd w:id="5"/>
    </w:p>
    <w:p w14:paraId="5A19C73E">
      <w:pPr>
        <w:pStyle w:val="2"/>
        <w:keepNext w:val="0"/>
        <w:keepLines w:val="0"/>
        <w:spacing w:before="480"/>
        <w:jc w:val="center"/>
        <w:rPr>
          <w:b/>
          <w:bCs/>
          <w:sz w:val="46"/>
          <w:szCs w:val="46"/>
        </w:rPr>
      </w:pPr>
      <w:bookmarkStart w:id="6" w:name="_zdpvuhsyvs3l" w:colFirst="0" w:colLast="0"/>
      <w:bookmarkEnd w:id="6"/>
      <w:r>
        <w:rPr>
          <w:b/>
          <w:bCs/>
          <w:sz w:val="46"/>
          <w:szCs w:val="46"/>
        </w:rPr>
        <w:t>Стратешки план Специјалне болнице Сокобања 2026–2029</w:t>
      </w:r>
    </w:p>
    <w:p w14:paraId="29FD859E">
      <w:pPr>
        <w:pStyle w:val="3"/>
        <w:spacing w:after="8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Унапређење искоришћености комерцијалних капацитета </w:t>
      </w:r>
      <w:r>
        <w:rPr>
          <w:b/>
          <w:bCs/>
          <w:i/>
          <w:sz w:val="32"/>
          <w:szCs w:val="32"/>
        </w:rPr>
        <w:t>RH</w:t>
      </w:r>
      <w:r>
        <w:rPr>
          <w:b/>
          <w:bCs/>
          <w:sz w:val="32"/>
          <w:szCs w:val="32"/>
        </w:rPr>
        <w:t xml:space="preserve"> центра и развој здравственог туризма</w:t>
      </w:r>
      <w:r>
        <w:br w:type="page"/>
      </w:r>
    </w:p>
    <w:sdt>
      <w:sdtPr>
        <w:id w:val="1597309729"/>
        <w:docPartObj>
          <w:docPartGallery w:val="Table of Contents"/>
          <w:docPartUnique/>
        </w:docPartObj>
      </w:sdtPr>
      <w:sdtContent>
        <w:p w14:paraId="7DFBCE0B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TOC \h \u \z \t "Heading 2,2,Heading 3,3,Heading 4,4,Heading 5,5,Heading 6,6,"</w:instrText>
          </w:r>
          <w:r>
            <w:fldChar w:fldCharType="separate"/>
          </w:r>
          <w:r>
            <w:fldChar w:fldCharType="begin"/>
          </w:r>
          <w:r>
            <w:instrText xml:space="preserve"> HYPERLINK \l "_gigv3aufn1mb" \h </w:instrText>
          </w:r>
          <w:r>
            <w:fldChar w:fldCharType="separate"/>
          </w:r>
          <w:r>
            <w:rPr>
              <w:color w:val="000000"/>
            </w:rPr>
            <w:t>1. Сврха документа и обавезни оквир</w:t>
          </w:r>
          <w:r>
            <w:rPr>
              <w:color w:val="000000"/>
            </w:rPr>
            <w:tab/>
          </w:r>
          <w:r>
            <w:rPr>
              <w:color w:val="000000"/>
            </w:rPr>
            <w:t>4</w:t>
          </w:r>
          <w:r>
            <w:rPr>
              <w:color w:val="000000"/>
            </w:rPr>
            <w:fldChar w:fldCharType="end"/>
          </w:r>
        </w:p>
        <w:p w14:paraId="401C7F6C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"_3evn08rh5tgm" \h </w:instrText>
          </w:r>
          <w:r>
            <w:fldChar w:fldCharType="separate"/>
          </w:r>
          <w:r>
            <w:rPr>
              <w:color w:val="000000"/>
            </w:rPr>
            <w:t>2. Полазне чињенице и контекст</w:t>
          </w:r>
          <w:r>
            <w:rPr>
              <w:color w:val="000000"/>
            </w:rPr>
            <w:tab/>
          </w:r>
          <w:r>
            <w:rPr>
              <w:color w:val="000000"/>
            </w:rPr>
            <w:t>6</w:t>
          </w:r>
          <w:r>
            <w:rPr>
              <w:color w:val="000000"/>
            </w:rPr>
            <w:fldChar w:fldCharType="end"/>
          </w:r>
        </w:p>
        <w:p w14:paraId="20511CCA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"_82xviludhy94" \h </w:instrText>
          </w:r>
          <w:r>
            <w:fldChar w:fldCharType="separate"/>
          </w:r>
          <w:r>
            <w:rPr>
              <w:color w:val="000000"/>
            </w:rPr>
            <w:t>2.1. SWOT анализа</w:t>
          </w:r>
          <w:r>
            <w:rPr>
              <w:color w:val="000000"/>
            </w:rPr>
            <w:tab/>
          </w:r>
          <w:r>
            <w:rPr>
              <w:color w:val="000000"/>
            </w:rPr>
            <w:t>7</w:t>
          </w:r>
          <w:r>
            <w:rPr>
              <w:color w:val="000000"/>
            </w:rPr>
            <w:fldChar w:fldCharType="end"/>
          </w:r>
        </w:p>
        <w:p w14:paraId="62CA40F4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"_wd71puzer2we" \h </w:instrText>
          </w:r>
          <w:r>
            <w:fldChar w:fldCharType="separate"/>
          </w:r>
          <w:r>
            <w:rPr>
              <w:color w:val="000000"/>
            </w:rPr>
            <w:t>3. Стратешки циљеви (2026–2029) и циљне вредности</w:t>
          </w:r>
          <w:r>
            <w:rPr>
              <w:color w:val="000000"/>
            </w:rPr>
            <w:tab/>
          </w:r>
          <w:r>
            <w:rPr>
              <w:color w:val="000000"/>
            </w:rPr>
            <w:t>8</w:t>
          </w:r>
          <w:r>
            <w:rPr>
              <w:color w:val="000000"/>
            </w:rPr>
            <w:fldChar w:fldCharType="end"/>
          </w:r>
        </w:p>
        <w:p w14:paraId="042ACD1A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"_w6rmvfh3jf0" \h </w:instrText>
          </w:r>
          <w:r>
            <w:fldChar w:fldCharType="separate"/>
          </w:r>
          <w:r>
            <w:rPr>
              <w:color w:val="000000"/>
            </w:rPr>
            <w:t>Циљ 1: Реконструкција и модернизација комерцијалних капацитета</w:t>
          </w:r>
          <w:r>
            <w:rPr>
              <w:color w:val="000000"/>
            </w:rPr>
            <w:tab/>
          </w:r>
          <w:r>
            <w:rPr>
              <w:color w:val="000000"/>
            </w:rPr>
            <w:t>8</w:t>
          </w:r>
          <w:r>
            <w:rPr>
              <w:color w:val="000000"/>
            </w:rPr>
            <w:fldChar w:fldCharType="end"/>
          </w:r>
        </w:p>
        <w:p w14:paraId="790B069B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"_nz3nbd7bwrn1" \h </w:instrText>
          </w:r>
          <w:r>
            <w:fldChar w:fldCharType="separate"/>
          </w:r>
          <w:r>
            <w:rPr>
              <w:color w:val="000000"/>
            </w:rPr>
            <w:t>Циљ 2: Повећање попуњености (OCC) и BO-дана комерцијалног сегмента</w:t>
          </w:r>
          <w:r>
            <w:rPr>
              <w:color w:val="000000"/>
            </w:rPr>
            <w:tab/>
          </w:r>
          <w:r>
            <w:rPr>
              <w:color w:val="000000"/>
            </w:rPr>
            <w:t>9</w:t>
          </w:r>
          <w:r>
            <w:rPr>
              <w:color w:val="000000"/>
            </w:rPr>
            <w:fldChar w:fldCharType="end"/>
          </w:r>
        </w:p>
        <w:p w14:paraId="37094FEF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"_d7b7lbmeqlw6" \h </w:instrText>
          </w:r>
          <w:r>
            <w:fldChar w:fldCharType="separate"/>
          </w:r>
          <w:r>
            <w:rPr>
              <w:color w:val="000000"/>
            </w:rPr>
            <w:t>Циљ 3: Повећање прихода из здравственог туризма</w:t>
          </w:r>
          <w:r>
            <w:rPr>
              <w:color w:val="000000"/>
            </w:rPr>
            <w:tab/>
          </w:r>
          <w:r>
            <w:rPr>
              <w:color w:val="000000"/>
            </w:rPr>
            <w:t>9</w:t>
          </w:r>
          <w:r>
            <w:rPr>
              <w:color w:val="000000"/>
            </w:rPr>
            <w:fldChar w:fldCharType="end"/>
          </w:r>
        </w:p>
        <w:p w14:paraId="7B4C65C1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"_5dls56e006wx" \h </w:instrText>
          </w:r>
          <w:r>
            <w:fldChar w:fldCharType="separate"/>
          </w:r>
          <w:r>
            <w:rPr>
              <w:color w:val="000000"/>
            </w:rPr>
            <w:t>Циљ 4: Изградња маркетиншко–продајних капацитета</w:t>
          </w:r>
          <w:r>
            <w:rPr>
              <w:color w:val="000000"/>
            </w:rPr>
            <w:tab/>
          </w:r>
          <w:r>
            <w:rPr>
              <w:color w:val="000000"/>
            </w:rPr>
            <w:t>9</w:t>
          </w:r>
          <w:r>
            <w:rPr>
              <w:color w:val="000000"/>
            </w:rPr>
            <w:fldChar w:fldCharType="end"/>
          </w:r>
        </w:p>
        <w:p w14:paraId="3CE88677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"_9xzs5jx1d7w" \h </w:instrText>
          </w:r>
          <w:r>
            <w:fldChar w:fldCharType="separate"/>
          </w:r>
          <w:r>
            <w:rPr>
              <w:color w:val="000000"/>
            </w:rPr>
            <w:t>Циљ 5: Интеграција здравствене и туристичке понуде Сокобање</w:t>
          </w:r>
          <w:r>
            <w:rPr>
              <w:color w:val="000000"/>
            </w:rPr>
            <w:tab/>
          </w:r>
          <w:r>
            <w:rPr>
              <w:color w:val="000000"/>
            </w:rPr>
            <w:t>9</w:t>
          </w:r>
          <w:r>
            <w:rPr>
              <w:color w:val="000000"/>
            </w:rPr>
            <w:fldChar w:fldCharType="end"/>
          </w:r>
        </w:p>
        <w:p w14:paraId="3F7B45B1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"_r6qcxgsijci5" \h </w:instrText>
          </w:r>
          <w:r>
            <w:fldChar w:fldCharType="separate"/>
          </w:r>
          <w:r>
            <w:rPr>
              <w:color w:val="000000"/>
            </w:rPr>
            <w:t>4. Иницијативе и програми по циљевима (начин остварења)</w:t>
          </w:r>
          <w:r>
            <w:rPr>
              <w:color w:val="000000"/>
            </w:rPr>
            <w:tab/>
          </w:r>
          <w:r>
            <w:rPr>
              <w:color w:val="000000"/>
            </w:rPr>
            <w:t>10</w:t>
          </w:r>
          <w:r>
            <w:rPr>
              <w:color w:val="000000"/>
            </w:rPr>
            <w:fldChar w:fldCharType="end"/>
          </w:r>
        </w:p>
        <w:p w14:paraId="772D758F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"_oxk91m3c1drm" \h </w:instrText>
          </w:r>
          <w:r>
            <w:fldChar w:fldCharType="separate"/>
          </w:r>
          <w:r>
            <w:rPr>
              <w:color w:val="000000"/>
            </w:rPr>
            <w:t>4.1. Стратешко планирање и управљање (Циљеви 2–3)</w:t>
          </w:r>
          <w:r>
            <w:rPr>
              <w:color w:val="000000"/>
            </w:rPr>
            <w:tab/>
          </w:r>
          <w:r>
            <w:rPr>
              <w:color w:val="000000"/>
            </w:rPr>
            <w:t>10</w:t>
          </w:r>
          <w:r>
            <w:rPr>
              <w:color w:val="000000"/>
            </w:rPr>
            <w:fldChar w:fldCharType="end"/>
          </w:r>
        </w:p>
        <w:p w14:paraId="2603DC1F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"_155ezzjnzp1v" \h </w:instrText>
          </w:r>
          <w:r>
            <w:fldChar w:fldCharType="separate"/>
          </w:r>
          <w:r>
            <w:rPr>
              <w:color w:val="000000"/>
            </w:rPr>
            <w:t>4.2. Обучени кадар за marketing и продају (Циљеви 3–4)</w:t>
          </w:r>
          <w:r>
            <w:rPr>
              <w:color w:val="000000"/>
            </w:rPr>
            <w:tab/>
          </w:r>
          <w:r>
            <w:rPr>
              <w:color w:val="000000"/>
            </w:rPr>
            <w:t>11</w:t>
          </w:r>
          <w:r>
            <w:rPr>
              <w:color w:val="000000"/>
            </w:rPr>
            <w:fldChar w:fldCharType="end"/>
          </w:r>
        </w:p>
        <w:p w14:paraId="7D205DC3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"_n5al7usj2d7n" \h </w:instrText>
          </w:r>
          <w:r>
            <w:fldChar w:fldCharType="separate"/>
          </w:r>
          <w:r>
            <w:rPr>
              <w:color w:val="000000"/>
            </w:rPr>
            <w:t>4.3. Реконструкција и модернизација објеката (Циљеви 1–2)</w:t>
          </w:r>
          <w:r>
            <w:rPr>
              <w:color w:val="000000"/>
            </w:rPr>
            <w:tab/>
          </w:r>
          <w:r>
            <w:rPr>
              <w:color w:val="000000"/>
            </w:rPr>
            <w:t>11</w:t>
          </w:r>
          <w:r>
            <w:rPr>
              <w:color w:val="000000"/>
            </w:rPr>
            <w:fldChar w:fldCharType="end"/>
          </w:r>
        </w:p>
        <w:p w14:paraId="5DB9ED23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"_pi8xz0ht186a" \h </w:instrText>
          </w:r>
          <w:r>
            <w:fldChar w:fldCharType="separate"/>
          </w:r>
          <w:r>
            <w:rPr>
              <w:color w:val="000000"/>
            </w:rPr>
            <w:t>4.4. Препознавање и интеграција туристичке понуде (Циљеви 4–5)</w:t>
          </w:r>
          <w:r>
            <w:rPr>
              <w:color w:val="000000"/>
            </w:rPr>
            <w:tab/>
          </w:r>
          <w:r>
            <w:rPr>
              <w:color w:val="000000"/>
            </w:rPr>
            <w:t>11</w:t>
          </w:r>
          <w:r>
            <w:rPr>
              <w:color w:val="000000"/>
            </w:rPr>
            <w:fldChar w:fldCharType="end"/>
          </w:r>
        </w:p>
        <w:p w14:paraId="40CB35C0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"_igmn9t7ezwx4" \h </w:instrText>
          </w:r>
          <w:r>
            <w:fldChar w:fldCharType="separate"/>
          </w:r>
          <w:r>
            <w:rPr>
              <w:color w:val="000000"/>
            </w:rPr>
            <w:t>5. Оперативни план (2026–2029)</w:t>
          </w:r>
          <w:r>
            <w:rPr>
              <w:color w:val="000000"/>
            </w:rPr>
            <w:tab/>
          </w:r>
          <w:r>
            <w:rPr>
              <w:color w:val="000000"/>
            </w:rPr>
            <w:t>12</w:t>
          </w:r>
          <w:r>
            <w:rPr>
              <w:color w:val="000000"/>
            </w:rPr>
            <w:fldChar w:fldCharType="end"/>
          </w:r>
        </w:p>
        <w:p w14:paraId="4ED9DF04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"_yo0mric5ym16" \h </w:instrText>
          </w:r>
          <w:r>
            <w:fldChar w:fldCharType="separate"/>
          </w:r>
          <w:r>
            <w:rPr>
              <w:color w:val="000000"/>
            </w:rPr>
            <w:t>5.1. Година 2026 (консолидација и старт раста)</w:t>
          </w:r>
          <w:r>
            <w:rPr>
              <w:color w:val="000000"/>
            </w:rPr>
            <w:tab/>
          </w:r>
          <w:r>
            <w:rPr>
              <w:color w:val="000000"/>
            </w:rPr>
            <w:t>12</w:t>
          </w:r>
          <w:r>
            <w:rPr>
              <w:color w:val="000000"/>
            </w:rPr>
            <w:fldChar w:fldCharType="end"/>
          </w:r>
        </w:p>
        <w:p w14:paraId="174D753F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"_3tpxccn5c5wp" \h </w:instrText>
          </w:r>
          <w:r>
            <w:fldChar w:fldCharType="separate"/>
          </w:r>
          <w:r>
            <w:rPr>
              <w:color w:val="000000"/>
            </w:rPr>
            <w:t>5.2. Година 2027 (пробој и монетизација)</w:t>
          </w:r>
          <w:r>
            <w:rPr>
              <w:color w:val="000000"/>
            </w:rPr>
            <w:tab/>
          </w:r>
          <w:r>
            <w:rPr>
              <w:color w:val="000000"/>
            </w:rPr>
            <w:t>12</w:t>
          </w:r>
          <w:r>
            <w:rPr>
              <w:color w:val="000000"/>
            </w:rPr>
            <w:fldChar w:fldCharType="end"/>
          </w:r>
        </w:p>
        <w:p w14:paraId="1197AEBB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"_2ag7jbdc2i8j" \h </w:instrText>
          </w:r>
          <w:r>
            <w:fldChar w:fldCharType="separate"/>
          </w:r>
          <w:r>
            <w:rPr>
              <w:color w:val="000000"/>
            </w:rPr>
            <w:t>5.3. Година 2028 (скалирање и диференцијација)</w:t>
          </w:r>
          <w:r>
            <w:rPr>
              <w:color w:val="000000"/>
            </w:rPr>
            <w:tab/>
          </w:r>
          <w:r>
            <w:rPr>
              <w:color w:val="000000"/>
            </w:rPr>
            <w:t>13</w:t>
          </w:r>
          <w:r>
            <w:rPr>
              <w:color w:val="000000"/>
            </w:rPr>
            <w:fldChar w:fldCharType="end"/>
          </w:r>
        </w:p>
        <w:p w14:paraId="0317024C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"_hgca9o5dwf50" \h </w:instrText>
          </w:r>
          <w:r>
            <w:fldChar w:fldCharType="separate"/>
          </w:r>
          <w:r>
            <w:rPr>
              <w:color w:val="000000"/>
            </w:rPr>
            <w:t>5.4. Година 2029 (консолидовани модел и одрживост)</w:t>
          </w:r>
          <w:r>
            <w:rPr>
              <w:color w:val="000000"/>
            </w:rPr>
            <w:tab/>
          </w:r>
          <w:r>
            <w:rPr>
              <w:color w:val="000000"/>
            </w:rPr>
            <w:t>13</w:t>
          </w:r>
          <w:r>
            <w:rPr>
              <w:color w:val="000000"/>
            </w:rPr>
            <w:fldChar w:fldCharType="end"/>
          </w:r>
        </w:p>
        <w:p w14:paraId="24BFC03A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"_395t2j91r8gz" \h </w:instrText>
          </w:r>
          <w:r>
            <w:fldChar w:fldCharType="separate"/>
          </w:r>
          <w:r>
            <w:rPr>
              <w:color w:val="000000"/>
            </w:rPr>
            <w:t>6. KPI систем и методологија мерења</w:t>
          </w:r>
          <w:r>
            <w:rPr>
              <w:color w:val="000000"/>
            </w:rPr>
            <w:tab/>
          </w:r>
          <w:r>
            <w:rPr>
              <w:color w:val="000000"/>
            </w:rPr>
            <w:t>14</w:t>
          </w:r>
          <w:r>
            <w:rPr>
              <w:color w:val="000000"/>
            </w:rPr>
            <w:fldChar w:fldCharType="end"/>
          </w:r>
        </w:p>
        <w:p w14:paraId="6B3E47C3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"_apoq0evvj33x" \h </w:instrText>
          </w:r>
          <w:r>
            <w:fldChar w:fldCharType="separate"/>
          </w:r>
          <w:r>
            <w:rPr>
              <w:color w:val="000000"/>
            </w:rPr>
            <w:t>6.1. KPI циљне вредности 2026–2029</w:t>
          </w:r>
          <w:r>
            <w:rPr>
              <w:color w:val="000000"/>
            </w:rPr>
            <w:tab/>
          </w:r>
          <w:r>
            <w:rPr>
              <w:color w:val="000000"/>
            </w:rPr>
            <w:t>15</w:t>
          </w:r>
          <w:r>
            <w:rPr>
              <w:color w:val="000000"/>
            </w:rPr>
            <w:fldChar w:fldCharType="end"/>
          </w:r>
        </w:p>
        <w:p w14:paraId="4F53FAC0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"_ecbgs9ixywtu" \h </w:instrText>
          </w:r>
          <w:r>
            <w:fldChar w:fldCharType="separate"/>
          </w:r>
          <w:r>
            <w:rPr>
              <w:color w:val="000000"/>
            </w:rPr>
            <w:t>Кључни KPI циљеви (табеларни приказ)</w:t>
          </w:r>
          <w:r>
            <w:rPr>
              <w:color w:val="000000"/>
            </w:rPr>
            <w:tab/>
          </w:r>
          <w:r>
            <w:rPr>
              <w:color w:val="000000"/>
            </w:rPr>
            <w:t>15</w:t>
          </w:r>
          <w:r>
            <w:rPr>
              <w:color w:val="000000"/>
            </w:rPr>
            <w:fldChar w:fldCharType="end"/>
          </w:r>
        </w:p>
        <w:p w14:paraId="63C77BC7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"_5jyl69fmbcrs" \h </w:instrText>
          </w:r>
          <w:r>
            <w:fldChar w:fldCharType="separate"/>
          </w:r>
          <w:r>
            <w:rPr>
              <w:color w:val="000000"/>
            </w:rPr>
            <w:t>Објашњење и значај KPI-јева</w:t>
          </w:r>
          <w:r>
            <w:rPr>
              <w:color w:val="000000"/>
            </w:rPr>
            <w:tab/>
          </w:r>
          <w:r>
            <w:rPr>
              <w:color w:val="000000"/>
            </w:rPr>
            <w:t>15</w:t>
          </w:r>
          <w:r>
            <w:rPr>
              <w:color w:val="000000"/>
            </w:rPr>
            <w:fldChar w:fldCharType="end"/>
          </w:r>
        </w:p>
        <w:p w14:paraId="76E46DF0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"_n7zukmz17vrf" \h </w:instrText>
          </w:r>
          <w:r>
            <w:fldChar w:fldCharType="separate"/>
          </w:r>
          <w:r>
            <w:rPr>
              <w:color w:val="000000"/>
            </w:rPr>
            <w:t>6.1.1 Примарни KPI (са дефиницијама)</w:t>
          </w:r>
          <w:r>
            <w:rPr>
              <w:color w:val="000000"/>
            </w:rPr>
            <w:tab/>
          </w:r>
          <w:r>
            <w:rPr>
              <w:color w:val="000000"/>
            </w:rPr>
            <w:t>16</w:t>
          </w:r>
          <w:r>
            <w:rPr>
              <w:color w:val="000000"/>
            </w:rPr>
            <w:fldChar w:fldCharType="end"/>
          </w:r>
        </w:p>
        <w:p w14:paraId="345A7890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"_eqx795yyzbo7" \h </w:instrText>
          </w:r>
          <w:r>
            <w:fldChar w:fldCharType="separate"/>
          </w:r>
          <w:r>
            <w:rPr>
              <w:color w:val="000000"/>
            </w:rPr>
            <w:t>6.1.2. Секундарни KPI</w:t>
          </w:r>
          <w:r>
            <w:rPr>
              <w:color w:val="000000"/>
            </w:rPr>
            <w:tab/>
          </w:r>
          <w:r>
            <w:rPr>
              <w:color w:val="000000"/>
            </w:rPr>
            <w:t>16</w:t>
          </w:r>
          <w:r>
            <w:rPr>
              <w:color w:val="000000"/>
            </w:rPr>
            <w:fldChar w:fldCharType="end"/>
          </w:r>
        </w:p>
        <w:p w14:paraId="0DD00734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"_pfyne9vtl9n0" \h </w:instrText>
          </w:r>
          <w:r>
            <w:fldChar w:fldCharType="separate"/>
          </w:r>
          <w:r>
            <w:rPr>
              <w:color w:val="000000"/>
            </w:rPr>
            <w:t>6.1.3. Референтни прорачуни</w:t>
          </w:r>
          <w:r>
            <w:rPr>
              <w:color w:val="000000"/>
            </w:rPr>
            <w:tab/>
          </w:r>
          <w:r>
            <w:rPr>
              <w:color w:val="000000"/>
            </w:rPr>
            <w:t>16</w:t>
          </w:r>
          <w:r>
            <w:rPr>
              <w:color w:val="000000"/>
            </w:rPr>
            <w:fldChar w:fldCharType="end"/>
          </w:r>
        </w:p>
        <w:p w14:paraId="00B11609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"_fbg54tbuqzuz" \h </w:instrText>
          </w:r>
          <w:r>
            <w:fldChar w:fldCharType="separate"/>
          </w:r>
          <w:r>
            <w:rPr>
              <w:color w:val="000000"/>
            </w:rPr>
            <w:t>7. Ценовна политика и управљање приходима</w:t>
          </w:r>
          <w:r>
            <w:rPr>
              <w:color w:val="000000"/>
            </w:rPr>
            <w:tab/>
          </w:r>
          <w:r>
            <w:rPr>
              <w:color w:val="000000"/>
            </w:rPr>
            <w:t>17</w:t>
          </w:r>
          <w:r>
            <w:rPr>
              <w:color w:val="000000"/>
            </w:rPr>
            <w:fldChar w:fldCharType="end"/>
          </w:r>
        </w:p>
        <w:p w14:paraId="24A6F6F7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"_xe5a2kr7vowc" \h </w:instrText>
          </w:r>
          <w:r>
            <w:fldChar w:fldCharType="separate"/>
          </w:r>
          <w:r>
            <w:rPr>
              <w:color w:val="000000"/>
            </w:rPr>
            <w:t>8. Производни портфељ (пакети)</w:t>
          </w:r>
          <w:r>
            <w:rPr>
              <w:color w:val="000000"/>
            </w:rPr>
            <w:tab/>
          </w:r>
          <w:r>
            <w:rPr>
              <w:color w:val="000000"/>
            </w:rPr>
            <w:t>18</w:t>
          </w:r>
          <w:r>
            <w:rPr>
              <w:color w:val="000000"/>
            </w:rPr>
            <w:fldChar w:fldCharType="end"/>
          </w:r>
        </w:p>
        <w:p w14:paraId="345D3534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"_mbhwouo22ijw" \h </w:instrText>
          </w:r>
          <w:r>
            <w:fldChar w:fldCharType="separate"/>
          </w:r>
          <w:r>
            <w:rPr>
              <w:color w:val="000000"/>
            </w:rPr>
            <w:t>9. Инфраструктурни развој и инвестиције</w:t>
          </w:r>
          <w:r>
            <w:rPr>
              <w:color w:val="000000"/>
            </w:rPr>
            <w:tab/>
          </w:r>
          <w:r>
            <w:rPr>
              <w:color w:val="000000"/>
            </w:rPr>
            <w:t>19</w:t>
          </w:r>
          <w:r>
            <w:rPr>
              <w:color w:val="000000"/>
            </w:rPr>
            <w:fldChar w:fldCharType="end"/>
          </w:r>
        </w:p>
        <w:p w14:paraId="76CED834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"_p8hhbl4usol" \h </w:instrText>
          </w:r>
          <w:r>
            <w:fldChar w:fldCharType="separate"/>
          </w:r>
          <w:r>
            <w:rPr>
              <w:color w:val="000000"/>
            </w:rPr>
            <w:t>9.1. Обухват и приоритети инвестиција</w:t>
          </w:r>
          <w:r>
            <w:rPr>
              <w:color w:val="000000"/>
            </w:rPr>
            <w:tab/>
          </w:r>
          <w:r>
            <w:rPr>
              <w:color w:val="000000"/>
            </w:rPr>
            <w:t>19</w:t>
          </w:r>
          <w:r>
            <w:rPr>
              <w:color w:val="000000"/>
            </w:rPr>
            <w:fldChar w:fldCharType="end"/>
          </w:r>
        </w:p>
        <w:p w14:paraId="78492FF2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"_cytkmv9efzt2" \h </w:instrText>
          </w:r>
          <w:r>
            <w:fldChar w:fldCharType="separate"/>
          </w:r>
          <w:r>
            <w:rPr>
              <w:color w:val="000000"/>
            </w:rPr>
            <w:t>9.2. Функционална и архитектонска решења</w:t>
          </w:r>
          <w:r>
            <w:rPr>
              <w:color w:val="000000"/>
            </w:rPr>
            <w:tab/>
          </w:r>
          <w:r>
            <w:rPr>
              <w:color w:val="000000"/>
            </w:rPr>
            <w:t>19</w:t>
          </w:r>
          <w:r>
            <w:rPr>
              <w:color w:val="000000"/>
            </w:rPr>
            <w:fldChar w:fldCharType="end"/>
          </w:r>
        </w:p>
        <w:p w14:paraId="2AC15279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"_7k66vz1mnz0e" \h </w:instrText>
          </w:r>
          <w:r>
            <w:fldChar w:fldCharType="separate"/>
          </w:r>
          <w:r>
            <w:rPr>
              <w:color w:val="000000"/>
            </w:rPr>
            <w:t>9.3. Енергетска ефикасност и одрживост</w:t>
          </w:r>
          <w:r>
            <w:rPr>
              <w:color w:val="000000"/>
            </w:rPr>
            <w:tab/>
          </w:r>
          <w:r>
            <w:rPr>
              <w:color w:val="000000"/>
            </w:rPr>
            <w:t>19</w:t>
          </w:r>
          <w:r>
            <w:rPr>
              <w:color w:val="000000"/>
            </w:rPr>
            <w:fldChar w:fldCharType="end"/>
          </w:r>
        </w:p>
        <w:p w14:paraId="5585B3AA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"_7bf79az20hmp" \h </w:instrText>
          </w:r>
          <w:r>
            <w:fldChar w:fldCharType="separate"/>
          </w:r>
          <w:r>
            <w:rPr>
              <w:color w:val="000000"/>
            </w:rPr>
            <w:t>9.4. IT и нисконапонске инсталације</w:t>
          </w:r>
          <w:r>
            <w:rPr>
              <w:color w:val="000000"/>
            </w:rPr>
            <w:tab/>
          </w:r>
          <w:r>
            <w:rPr>
              <w:color w:val="000000"/>
            </w:rPr>
            <w:t>20</w:t>
          </w:r>
          <w:r>
            <w:rPr>
              <w:color w:val="000000"/>
            </w:rPr>
            <w:fldChar w:fldCharType="end"/>
          </w:r>
        </w:p>
        <w:p w14:paraId="054A5415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"_x2xg0hkeuadf" \h </w:instrText>
          </w:r>
          <w:r>
            <w:fldChar w:fldCharType="separate"/>
          </w:r>
          <w:r>
            <w:rPr>
              <w:color w:val="000000"/>
            </w:rPr>
            <w:t>9.5. Фазе и временски распоред (2026–2029)</w:t>
          </w:r>
          <w:r>
            <w:rPr>
              <w:color w:val="000000"/>
            </w:rPr>
            <w:tab/>
          </w:r>
          <w:r>
            <w:rPr>
              <w:color w:val="000000"/>
            </w:rPr>
            <w:t>20</w:t>
          </w:r>
          <w:r>
            <w:rPr>
              <w:color w:val="000000"/>
            </w:rPr>
            <w:fldChar w:fldCharType="end"/>
          </w:r>
        </w:p>
        <w:p w14:paraId="0F885C82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"_ivkx36w9u835" \h </w:instrText>
          </w:r>
          <w:r>
            <w:fldChar w:fldCharType="separate"/>
          </w:r>
          <w:r>
            <w:rPr>
              <w:color w:val="000000"/>
            </w:rPr>
            <w:t>9.6. Управљање пројектима и набавкама</w:t>
          </w:r>
          <w:r>
            <w:rPr>
              <w:color w:val="000000"/>
            </w:rPr>
            <w:tab/>
          </w:r>
          <w:r>
            <w:rPr>
              <w:color w:val="000000"/>
            </w:rPr>
            <w:t>20</w:t>
          </w:r>
          <w:r>
            <w:rPr>
              <w:color w:val="000000"/>
            </w:rPr>
            <w:fldChar w:fldCharType="end"/>
          </w:r>
        </w:p>
        <w:p w14:paraId="7D51A783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"_qfpg2x16mnz1" \h </w:instrText>
          </w:r>
          <w:r>
            <w:fldChar w:fldCharType="separate"/>
          </w:r>
          <w:r>
            <w:rPr>
              <w:color w:val="000000"/>
            </w:rPr>
            <w:t>9.7. Финансирање и економика инвестиција</w:t>
          </w:r>
          <w:r>
            <w:rPr>
              <w:color w:val="000000"/>
            </w:rPr>
            <w:tab/>
          </w:r>
          <w:r>
            <w:rPr>
              <w:color w:val="000000"/>
            </w:rPr>
            <w:t>20</w:t>
          </w:r>
          <w:r>
            <w:rPr>
              <w:color w:val="000000"/>
            </w:rPr>
            <w:fldChar w:fldCharType="end"/>
          </w:r>
        </w:p>
        <w:p w14:paraId="409446F3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"_rs6scpipmx8l" \h </w:instrText>
          </w:r>
          <w:r>
            <w:fldChar w:fldCharType="separate"/>
          </w:r>
          <w:r>
            <w:rPr>
              <w:color w:val="000000"/>
            </w:rPr>
            <w:t>9.8. Континуитет рада током извођења</w:t>
          </w:r>
          <w:r>
            <w:rPr>
              <w:color w:val="000000"/>
            </w:rPr>
            <w:tab/>
          </w:r>
          <w:r>
            <w:rPr>
              <w:color w:val="000000"/>
            </w:rPr>
            <w:t>20</w:t>
          </w:r>
          <w:r>
            <w:rPr>
              <w:color w:val="000000"/>
            </w:rPr>
            <w:fldChar w:fldCharType="end"/>
          </w:r>
        </w:p>
        <w:p w14:paraId="1372A395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"_cz6yckw0ohxc" \h </w:instrText>
          </w:r>
          <w:r>
            <w:fldChar w:fldCharType="separate"/>
          </w:r>
          <w:r>
            <w:rPr>
              <w:color w:val="000000"/>
            </w:rPr>
            <w:t>9.9. Стандарди и усклађеност</w:t>
          </w:r>
          <w:r>
            <w:rPr>
              <w:color w:val="000000"/>
            </w:rPr>
            <w:tab/>
          </w:r>
          <w:r>
            <w:rPr>
              <w:color w:val="000000"/>
            </w:rPr>
            <w:t>21</w:t>
          </w:r>
          <w:r>
            <w:rPr>
              <w:color w:val="000000"/>
            </w:rPr>
            <w:fldChar w:fldCharType="end"/>
          </w:r>
        </w:p>
        <w:p w14:paraId="2FFA53A9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"_1rkr7kwbcsqp" \h </w:instrText>
          </w:r>
          <w:r>
            <w:fldChar w:fldCharType="separate"/>
          </w:r>
          <w:r>
            <w:rPr>
              <w:color w:val="000000"/>
            </w:rPr>
            <w:t>9.10. Одржавање и животни циклус</w:t>
          </w:r>
          <w:r>
            <w:rPr>
              <w:color w:val="000000"/>
            </w:rPr>
            <w:tab/>
          </w:r>
          <w:r>
            <w:rPr>
              <w:color w:val="000000"/>
            </w:rPr>
            <w:t>21</w:t>
          </w:r>
          <w:r>
            <w:rPr>
              <w:color w:val="000000"/>
            </w:rPr>
            <w:fldChar w:fldCharType="end"/>
          </w:r>
        </w:p>
        <w:p w14:paraId="31684DA4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"_njcvli2tdlh1" \h </w:instrText>
          </w:r>
          <w:r>
            <w:fldChar w:fldCharType="separate"/>
          </w:r>
          <w:r>
            <w:rPr>
              <w:color w:val="000000"/>
            </w:rPr>
            <w:t>10. Каналска стратегија и промоција</w:t>
          </w:r>
          <w:r>
            <w:rPr>
              <w:color w:val="000000"/>
            </w:rPr>
            <w:tab/>
          </w:r>
          <w:r>
            <w:rPr>
              <w:color w:val="000000"/>
            </w:rPr>
            <w:t>22</w:t>
          </w:r>
          <w:r>
            <w:rPr>
              <w:color w:val="000000"/>
            </w:rPr>
            <w:fldChar w:fldCharType="end"/>
          </w:r>
        </w:p>
        <w:p w14:paraId="09775EDA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"_hooenavk2ocv" \h </w:instrText>
          </w:r>
          <w:r>
            <w:fldChar w:fldCharType="separate"/>
          </w:r>
          <w:r>
            <w:rPr>
              <w:color w:val="000000"/>
            </w:rPr>
            <w:t>10.1. Директни канал (сајт + booking + CRM)</w:t>
          </w:r>
          <w:r>
            <w:rPr>
              <w:color w:val="000000"/>
            </w:rPr>
            <w:tab/>
          </w:r>
          <w:r>
            <w:rPr>
              <w:color w:val="000000"/>
            </w:rPr>
            <w:t>22</w:t>
          </w:r>
          <w:r>
            <w:rPr>
              <w:color w:val="000000"/>
            </w:rPr>
            <w:fldChar w:fldCharType="end"/>
          </w:r>
        </w:p>
        <w:p w14:paraId="437E959B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"_awk4h1v4osi1" \h </w:instrText>
          </w:r>
          <w:r>
            <w:fldChar w:fldCharType="separate"/>
          </w:r>
          <w:r>
            <w:rPr>
              <w:color w:val="000000"/>
            </w:rPr>
            <w:t>10.2. Посреднички канали (агенције и платформе)</w:t>
          </w:r>
          <w:r>
            <w:rPr>
              <w:color w:val="000000"/>
            </w:rPr>
            <w:tab/>
          </w:r>
          <w:r>
            <w:rPr>
              <w:color w:val="000000"/>
            </w:rPr>
            <w:t>22</w:t>
          </w:r>
          <w:r>
            <w:rPr>
              <w:color w:val="000000"/>
            </w:rPr>
            <w:fldChar w:fldCharType="end"/>
          </w:r>
        </w:p>
        <w:p w14:paraId="6A3E2EED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"_luv96s4u8x23" \h </w:instrText>
          </w:r>
          <w:r>
            <w:fldChar w:fldCharType="separate"/>
          </w:r>
          <w:r>
            <w:rPr>
              <w:color w:val="000000"/>
            </w:rPr>
            <w:t>10.3. Б2Б (осигурања, компаније, PIO/удружења)</w:t>
          </w:r>
          <w:r>
            <w:rPr>
              <w:color w:val="000000"/>
            </w:rPr>
            <w:tab/>
          </w:r>
          <w:r>
            <w:rPr>
              <w:color w:val="000000"/>
            </w:rPr>
            <w:t>23</w:t>
          </w:r>
          <w:r>
            <w:rPr>
              <w:color w:val="000000"/>
            </w:rPr>
            <w:fldChar w:fldCharType="end"/>
          </w:r>
        </w:p>
        <w:p w14:paraId="6E9B2F35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"_wms4dfohdi7x" \h </w:instrText>
          </w:r>
          <w:r>
            <w:fldChar w:fldCharType="separate"/>
          </w:r>
          <w:r>
            <w:rPr>
              <w:color w:val="000000"/>
            </w:rPr>
            <w:t>10.4. Брендирање и комуникације</w:t>
          </w:r>
          <w:r>
            <w:rPr>
              <w:color w:val="000000"/>
            </w:rPr>
            <w:tab/>
          </w:r>
          <w:r>
            <w:rPr>
              <w:color w:val="000000"/>
            </w:rPr>
            <w:t>23</w:t>
          </w:r>
          <w:r>
            <w:rPr>
              <w:color w:val="000000"/>
            </w:rPr>
            <w:fldChar w:fldCharType="end"/>
          </w:r>
        </w:p>
        <w:p w14:paraId="526F00C9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"_slzpiawhko0i" \h </w:instrText>
          </w:r>
          <w:r>
            <w:fldChar w:fldCharType="separate"/>
          </w:r>
          <w:r>
            <w:rPr>
              <w:color w:val="000000"/>
            </w:rPr>
            <w:t>10.5. Сезонске кампање и календар</w:t>
          </w:r>
          <w:r>
            <w:rPr>
              <w:color w:val="000000"/>
            </w:rPr>
            <w:tab/>
          </w:r>
          <w:r>
            <w:rPr>
              <w:color w:val="000000"/>
            </w:rPr>
            <w:t>24</w:t>
          </w:r>
          <w:r>
            <w:rPr>
              <w:color w:val="000000"/>
            </w:rPr>
            <w:fldChar w:fldCharType="end"/>
          </w:r>
        </w:p>
        <w:p w14:paraId="077DF4AB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"_kvedvpntq2fn" \h </w:instrText>
          </w:r>
          <w:r>
            <w:fldChar w:fldCharType="separate"/>
          </w:r>
          <w:r>
            <w:rPr>
              <w:color w:val="000000"/>
            </w:rPr>
            <w:t>10.6. KPI и мерење маркетинга</w:t>
          </w:r>
          <w:r>
            <w:rPr>
              <w:color w:val="000000"/>
            </w:rPr>
            <w:tab/>
          </w:r>
          <w:r>
            <w:rPr>
              <w:color w:val="000000"/>
            </w:rPr>
            <w:t>24</w:t>
          </w:r>
          <w:r>
            <w:rPr>
              <w:color w:val="000000"/>
            </w:rPr>
            <w:fldChar w:fldCharType="end"/>
          </w:r>
        </w:p>
        <w:p w14:paraId="061FE8D7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720"/>
            <w:rPr>
              <w:color w:val="000000"/>
            </w:rPr>
          </w:pPr>
          <w:r>
            <w:fldChar w:fldCharType="begin"/>
          </w:r>
          <w:r>
            <w:instrText xml:space="preserve"> HYPERLINK \l "_wiik68icmegx" \h </w:instrText>
          </w:r>
          <w:r>
            <w:fldChar w:fldCharType="separate"/>
          </w:r>
          <w:r>
            <w:rPr>
              <w:color w:val="000000"/>
            </w:rPr>
            <w:t>10.7. Организација и управљање маркетингом</w:t>
          </w:r>
          <w:r>
            <w:rPr>
              <w:color w:val="000000"/>
            </w:rPr>
            <w:tab/>
          </w:r>
          <w:r>
            <w:rPr>
              <w:color w:val="000000"/>
            </w:rPr>
            <w:t>25</w:t>
          </w:r>
          <w:r>
            <w:rPr>
              <w:color w:val="000000"/>
            </w:rPr>
            <w:fldChar w:fldCharType="end"/>
          </w:r>
        </w:p>
        <w:p w14:paraId="113433BC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"_aqnwj3oqypgl" \h </w:instrText>
          </w:r>
          <w:r>
            <w:fldChar w:fldCharType="separate"/>
          </w:r>
          <w:r>
            <w:rPr>
              <w:color w:val="000000"/>
            </w:rPr>
            <w:t>11. Распоред терапијских слотова и оперативно планирање</w:t>
          </w:r>
          <w:r>
            <w:rPr>
              <w:color w:val="000000"/>
            </w:rPr>
            <w:tab/>
          </w:r>
          <w:r>
            <w:rPr>
              <w:color w:val="000000"/>
            </w:rPr>
            <w:t>26</w:t>
          </w:r>
          <w:r>
            <w:rPr>
              <w:color w:val="000000"/>
            </w:rPr>
            <w:fldChar w:fldCharType="end"/>
          </w:r>
        </w:p>
        <w:p w14:paraId="1AB16C8B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"_zhms4hj2o74h" \h </w:instrText>
          </w:r>
          <w:r>
            <w:fldChar w:fldCharType="separate"/>
          </w:r>
          <w:r>
            <w:rPr>
              <w:color w:val="000000"/>
            </w:rPr>
            <w:t>12. Организација, улоге и одговорности</w:t>
          </w:r>
          <w:r>
            <w:rPr>
              <w:color w:val="000000"/>
            </w:rPr>
            <w:tab/>
          </w:r>
          <w:r>
            <w:rPr>
              <w:color w:val="000000"/>
            </w:rPr>
            <w:t>27</w:t>
          </w:r>
          <w:r>
            <w:rPr>
              <w:color w:val="000000"/>
            </w:rPr>
            <w:fldChar w:fldCharType="end"/>
          </w:r>
        </w:p>
        <w:p w14:paraId="239DE1A5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"_3rkxbwjztsfw" \h </w:instrText>
          </w:r>
          <w:r>
            <w:fldChar w:fldCharType="separate"/>
          </w:r>
          <w:r>
            <w:rPr>
              <w:color w:val="000000"/>
            </w:rPr>
            <w:t>13. Управљање ризицима</w:t>
          </w:r>
          <w:r>
            <w:rPr>
              <w:color w:val="000000"/>
            </w:rPr>
            <w:tab/>
          </w:r>
          <w:r>
            <w:rPr>
              <w:color w:val="000000"/>
            </w:rPr>
            <w:t>29</w:t>
          </w:r>
          <w:r>
            <w:rPr>
              <w:color w:val="000000"/>
            </w:rPr>
            <w:fldChar w:fldCharType="end"/>
          </w:r>
        </w:p>
        <w:p w14:paraId="7AE645EA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1080"/>
            <w:rPr>
              <w:color w:val="000000"/>
            </w:rPr>
          </w:pPr>
          <w:r>
            <w:fldChar w:fldCharType="begin"/>
          </w:r>
          <w:r>
            <w:instrText xml:space="preserve"> HYPERLINK \l "_g6d1vz35q73k" \h </w:instrText>
          </w:r>
          <w:r>
            <w:fldChar w:fldCharType="separate"/>
          </w:r>
          <w:r>
            <w:rPr>
              <w:color w:val="000000"/>
            </w:rPr>
            <w:t>Процес праћења и евалуације ризика</w:t>
          </w:r>
          <w:r>
            <w:rPr>
              <w:color w:val="000000"/>
            </w:rPr>
            <w:tab/>
          </w:r>
          <w:r>
            <w:rPr>
              <w:color w:val="000000"/>
            </w:rPr>
            <w:t>30</w:t>
          </w:r>
          <w:r>
            <w:rPr>
              <w:color w:val="000000"/>
            </w:rPr>
            <w:fldChar w:fldCharType="end"/>
          </w:r>
        </w:p>
        <w:p w14:paraId="6F150D14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"_dpfjxa97gxqd" \h </w:instrText>
          </w:r>
          <w:r>
            <w:fldChar w:fldCharType="separate"/>
          </w:r>
          <w:r>
            <w:rPr>
              <w:color w:val="000000"/>
            </w:rPr>
            <w:t>14. Мониторинг и извештавање</w:t>
          </w:r>
          <w:r>
            <w:rPr>
              <w:color w:val="000000"/>
            </w:rPr>
            <w:tab/>
          </w:r>
          <w:r>
            <w:rPr>
              <w:color w:val="000000"/>
            </w:rPr>
            <w:t>31</w:t>
          </w:r>
          <w:r>
            <w:rPr>
              <w:color w:val="000000"/>
            </w:rPr>
            <w:fldChar w:fldCharType="end"/>
          </w:r>
        </w:p>
        <w:p w14:paraId="15A3A7D6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"_oopszbj8nz3m" \h </w:instrText>
          </w:r>
          <w:r>
            <w:fldChar w:fldCharType="separate"/>
          </w:r>
          <w:r>
            <w:rPr>
              <w:color w:val="000000"/>
            </w:rPr>
            <w:t>15. Буџет и финансирање</w:t>
          </w:r>
          <w:r>
            <w:rPr>
              <w:color w:val="000000"/>
            </w:rPr>
            <w:tab/>
          </w:r>
          <w:r>
            <w:rPr>
              <w:color w:val="000000"/>
            </w:rPr>
            <w:t>32</w:t>
          </w:r>
          <w:r>
            <w:rPr>
              <w:color w:val="000000"/>
            </w:rPr>
            <w:fldChar w:fldCharType="end"/>
          </w:r>
        </w:p>
        <w:p w14:paraId="426A820D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"_ffs2mnl7khj0" \h </w:instrText>
          </w:r>
          <w:r>
            <w:fldChar w:fldCharType="separate"/>
          </w:r>
          <w:r>
            <w:rPr>
              <w:color w:val="000000"/>
            </w:rPr>
            <w:t>16. Стандарди квалитета и усклађеност</w:t>
          </w:r>
          <w:r>
            <w:rPr>
              <w:color w:val="000000"/>
            </w:rPr>
            <w:tab/>
          </w:r>
          <w:r>
            <w:rPr>
              <w:color w:val="000000"/>
            </w:rPr>
            <w:t>33</w:t>
          </w:r>
          <w:r>
            <w:rPr>
              <w:color w:val="000000"/>
            </w:rPr>
            <w:fldChar w:fldCharType="end"/>
          </w:r>
        </w:p>
        <w:p w14:paraId="0B0C073D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"_jv05q25msvtz" \h </w:instrText>
          </w:r>
          <w:r>
            <w:fldChar w:fldCharType="separate"/>
          </w:r>
          <w:r>
            <w:rPr>
              <w:color w:val="000000"/>
            </w:rPr>
            <w:t>17. Оквир за имплементацију (2026–2029) – преглед активности по кварталима</w:t>
          </w:r>
          <w:r>
            <w:rPr>
              <w:color w:val="000000"/>
            </w:rPr>
            <w:tab/>
          </w:r>
          <w:r>
            <w:rPr>
              <w:color w:val="000000"/>
            </w:rPr>
            <w:t>34</w:t>
          </w:r>
          <w:r>
            <w:rPr>
              <w:color w:val="000000"/>
            </w:rPr>
            <w:fldChar w:fldCharType="end"/>
          </w:r>
        </w:p>
        <w:p w14:paraId="677E72D1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"_nc0bhqkrc9eb" \h </w:instrText>
          </w:r>
          <w:r>
            <w:fldChar w:fldCharType="separate"/>
          </w:r>
          <w:r>
            <w:rPr>
              <w:color w:val="000000"/>
            </w:rPr>
            <w:t>18. Повезаност са националним и регионалним стратегијама</w:t>
          </w:r>
          <w:r>
            <w:rPr>
              <w:color w:val="000000"/>
            </w:rPr>
            <w:tab/>
          </w:r>
          <w:r>
            <w:rPr>
              <w:color w:val="000000"/>
            </w:rPr>
            <w:t>35</w:t>
          </w:r>
          <w:r>
            <w:rPr>
              <w:color w:val="000000"/>
            </w:rPr>
            <w:fldChar w:fldCharType="end"/>
          </w:r>
        </w:p>
        <w:p w14:paraId="7907BCF3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"_7j85maftcyec" \h </w:instrText>
          </w:r>
          <w:r>
            <w:fldChar w:fldCharType="separate"/>
          </w:r>
          <w:r>
            <w:rPr>
              <w:color w:val="000000"/>
            </w:rPr>
            <w:t>19. Напомена о континуитету и усклађености</w:t>
          </w:r>
          <w:r>
            <w:rPr>
              <w:color w:val="000000"/>
            </w:rPr>
            <w:tab/>
          </w:r>
          <w:r>
            <w:rPr>
              <w:color w:val="000000"/>
            </w:rPr>
            <w:t>36</w:t>
          </w:r>
          <w:r>
            <w:rPr>
              <w:color w:val="000000"/>
            </w:rPr>
            <w:fldChar w:fldCharType="end"/>
          </w:r>
        </w:p>
        <w:p w14:paraId="38E8AE3D">
          <w:pPr>
            <w:pStyle w:val="3"/>
            <w:widowControl w:val="0"/>
            <w:tabs>
              <w:tab w:val="right" w:pos="12000"/>
            </w:tabs>
            <w:spacing w:before="60" w:line="240" w:lineRule="auto"/>
            <w:ind w:left="360"/>
            <w:rPr>
              <w:color w:val="000000"/>
            </w:rPr>
          </w:pPr>
          <w:r>
            <w:fldChar w:fldCharType="begin"/>
          </w:r>
          <w:r>
            <w:instrText xml:space="preserve"> HYPERLINK \l "_xq3pzhono2i4" \h </w:instrText>
          </w:r>
          <w:r>
            <w:fldChar w:fldCharType="separate"/>
          </w:r>
          <w:r>
            <w:rPr>
              <w:color w:val="000000"/>
            </w:rPr>
            <w:t>20. Закључак</w:t>
          </w:r>
          <w:r>
            <w:rPr>
              <w:color w:val="000000"/>
            </w:rPr>
            <w:tab/>
          </w:r>
          <w:r>
            <w:rPr>
              <w:color w:val="000000"/>
            </w:rPr>
            <w:t>37</w:t>
          </w:r>
          <w:r>
            <w:rPr>
              <w:color w:val="000000"/>
            </w:rPr>
            <w:fldChar w:fldCharType="end"/>
          </w:r>
          <w:r>
            <w:fldChar w:fldCharType="end"/>
          </w:r>
        </w:p>
      </w:sdtContent>
    </w:sdt>
    <w:p w14:paraId="51712CA8">
      <w:pPr>
        <w:pStyle w:val="4"/>
        <w:keepNext w:val="0"/>
        <w:keepLines w:val="0"/>
        <w:spacing w:after="80"/>
        <w:rPr>
          <w:b/>
          <w:bCs/>
          <w:sz w:val="34"/>
          <w:szCs w:val="34"/>
        </w:rPr>
      </w:pPr>
      <w:bookmarkStart w:id="7" w:name="_txa8xln8fgbk" w:colFirst="0" w:colLast="0"/>
      <w:bookmarkEnd w:id="7"/>
    </w:p>
    <w:p w14:paraId="7DCB0258">
      <w:pPr>
        <w:pStyle w:val="3"/>
      </w:pPr>
    </w:p>
    <w:p w14:paraId="7025D796">
      <w:pPr>
        <w:pStyle w:val="4"/>
        <w:keepNext w:val="0"/>
        <w:keepLines w:val="0"/>
        <w:spacing w:before="280"/>
        <w:rPr>
          <w:b/>
          <w:bCs/>
        </w:rPr>
      </w:pPr>
      <w:bookmarkStart w:id="8" w:name="_ij5vtpmzmlm0" w:colFirst="0" w:colLast="0"/>
      <w:bookmarkEnd w:id="8"/>
      <w:r>
        <w:br w:type="page"/>
      </w:r>
    </w:p>
    <w:p w14:paraId="76CC8BCD">
      <w:pPr>
        <w:pStyle w:val="4"/>
        <w:keepNext w:val="0"/>
        <w:keepLines w:val="0"/>
        <w:spacing w:before="280"/>
        <w:jc w:val="both"/>
        <w:rPr>
          <w:b/>
          <w:bCs/>
        </w:rPr>
      </w:pPr>
      <w:bookmarkStart w:id="9" w:name="_gigv3aufn1mb" w:colFirst="0" w:colLast="0"/>
      <w:bookmarkEnd w:id="9"/>
      <w:r>
        <w:rPr>
          <w:b/>
          <w:bCs/>
        </w:rPr>
        <w:t>1. Сврха документа и обавезни оквир</w:t>
      </w:r>
    </w:p>
    <w:p w14:paraId="201C307C">
      <w:pPr>
        <w:pStyle w:val="3"/>
        <w:spacing w:before="240" w:after="240"/>
        <w:jc w:val="both"/>
      </w:pPr>
      <w:r>
        <w:t xml:space="preserve">Овај документ дефинише стратешки оквир Специјалне болнице Сокобања (у наставку: </w:t>
      </w:r>
      <w:r>
        <w:rPr>
          <w:i/>
        </w:rPr>
        <w:t>SB</w:t>
      </w:r>
      <w:r>
        <w:t xml:space="preserve">) за период 2026–2029 у области здравственог туризма са фокусом на комерцијалне капацитете </w:t>
      </w:r>
      <w:r>
        <w:rPr>
          <w:i/>
        </w:rPr>
        <w:t>RH</w:t>
      </w:r>
      <w:r>
        <w:t xml:space="preserve"> центра. Документ је структурисан у складу са захтевом ревизорског тела да се утврде:</w:t>
      </w:r>
    </w:p>
    <w:p w14:paraId="747CC602">
      <w:pPr>
        <w:pStyle w:val="3"/>
        <w:numPr>
          <w:ilvl w:val="0"/>
          <w:numId w:val="1"/>
        </w:numPr>
        <w:spacing w:before="240"/>
        <w:jc w:val="both"/>
      </w:pPr>
      <w:r>
        <w:t>стратешки циљеви,</w:t>
      </w:r>
    </w:p>
    <w:p w14:paraId="71C52712">
      <w:pPr>
        <w:pStyle w:val="3"/>
        <w:numPr>
          <w:ilvl w:val="0"/>
          <w:numId w:val="1"/>
        </w:numPr>
        <w:jc w:val="both"/>
      </w:pPr>
      <w:r>
        <w:t>циљне вредности које треба достићи у наредном периоду,</w:t>
      </w:r>
    </w:p>
    <w:p w14:paraId="3378D08E">
      <w:pPr>
        <w:pStyle w:val="3"/>
        <w:numPr>
          <w:ilvl w:val="0"/>
          <w:numId w:val="1"/>
        </w:numPr>
        <w:jc w:val="both"/>
      </w:pPr>
      <w:r>
        <w:t>начини остваривања циљева (иницијативе и програми),</w:t>
      </w:r>
    </w:p>
    <w:p w14:paraId="3CE5AA88">
      <w:pPr>
        <w:pStyle w:val="3"/>
        <w:numPr>
          <w:ilvl w:val="0"/>
          <w:numId w:val="1"/>
        </w:numPr>
        <w:jc w:val="both"/>
      </w:pPr>
      <w:r>
        <w:t>ризици и мере за њихову минимизацију,</w:t>
      </w:r>
    </w:p>
    <w:p w14:paraId="51CC002B">
      <w:pPr>
        <w:pStyle w:val="3"/>
        <w:numPr>
          <w:ilvl w:val="0"/>
          <w:numId w:val="1"/>
        </w:numPr>
        <w:spacing w:after="240"/>
        <w:jc w:val="both"/>
      </w:pPr>
      <w:r>
        <w:t>начини праћења (</w:t>
      </w:r>
      <w:r>
        <w:rPr>
          <w:i/>
        </w:rPr>
        <w:t>KPI</w:t>
      </w:r>
      <w:r>
        <w:t>, извештавање, одговорности).</w:t>
      </w:r>
    </w:p>
    <w:p w14:paraId="1A2F4684">
      <w:pPr>
        <w:pStyle w:val="3"/>
        <w:spacing w:before="240" w:after="240"/>
        <w:jc w:val="both"/>
      </w:pPr>
      <w:r>
        <w:t>Документ обухвата и јасан оперативни план (2026–2029) за повећање искоришћености комерцијалних капацитета, унапређење смјештајних и терапијских ресурса и успостављање одрживог комерцијалног модела заснованог на пакетизацији услуга, ценовној дисциплини и вишеканалној продаји.</w:t>
      </w:r>
    </w:p>
    <w:p w14:paraId="22B10814">
      <w:pPr>
        <w:pStyle w:val="3"/>
        <w:spacing w:before="240" w:after="240"/>
        <w:jc w:val="both"/>
      </w:pPr>
      <w:r>
        <w:t xml:space="preserve">Овај стратешки документ представља званичан оквир развоја Специјалне болнице Сокобања у периоду 2026–2029. године са посебним фокусом на унапређење искоришћености комерцијалних капацитета </w:t>
      </w:r>
      <w:r>
        <w:rPr>
          <w:i/>
        </w:rPr>
        <w:t>RH</w:t>
      </w:r>
      <w:r>
        <w:t xml:space="preserve"> центра и развој здравственог туризма као засебног пословног сегмента. Документ је израђен у складу са захтевима ревизорског тела и релевантним прописима у области здравствене заштите и туризма, као и националним стратешким документима који уређују јавно здравље, бањско лечење и туристички развој. У том смислу, план представља интегрисани систем управљања перформансама који обухвата прецизно дефинисане циљеве, квантификоване циљне вредности, јасно утврђене начине остварења, анализиране ризике са мерама ублажавања и методологију праћења.</w:t>
      </w:r>
    </w:p>
    <w:p w14:paraId="7C8F9DBC">
      <w:pPr>
        <w:pStyle w:val="3"/>
        <w:spacing w:before="240" w:after="240"/>
        <w:jc w:val="both"/>
      </w:pPr>
      <w:r>
        <w:t xml:space="preserve">Полазна тачка су налази ревизије о недовољној искоришћености комерцијалних капацитета, инфраструктурним недостацима, сезоналном затварању објеката и недостатку кадрова за </w:t>
      </w:r>
      <w:r>
        <w:rPr>
          <w:i/>
        </w:rPr>
        <w:t>marketing</w:t>
      </w:r>
      <w:r>
        <w:t xml:space="preserve"> и продају. Овај план на те налазе одговара операционализацијом промена у пет ослонаца: (1) дефинисани стратешки циљеви у области здравственог туризма, (2) циљне вредности по годинама за капацитет, попуњеност, приходе и квалитет услуге, (3) инвестиционе, организационе и маркетиншке иницијативе којима се ти циљеви остварују, (4) експлицитно управљање ризицима и (5) систем мониторинга и извештавања који омогућава правовремено доношење корективних мера. Додатно, документ уводи сегментно рачуноводство (комерцијални П&amp;Л), стандарде квалитета и процедуре интерне контроле, чиме се обезбеђује потпуна транспарентност и одговорност у управљању.</w:t>
      </w:r>
    </w:p>
    <w:p w14:paraId="2CA33786">
      <w:pPr>
        <w:pStyle w:val="3"/>
        <w:spacing w:before="240" w:after="240"/>
        <w:jc w:val="both"/>
      </w:pPr>
      <w:r>
        <w:t xml:space="preserve">Обим плана обухвата целокупан комерцијални „ланац вредности“: смештајне капацитете и </w:t>
      </w:r>
      <w:r>
        <w:rPr>
          <w:i/>
        </w:rPr>
        <w:t>standard</w:t>
      </w:r>
      <w:r>
        <w:t xml:space="preserve"> услуге, терапијско–рехабилитационе ресурсе, пакетизацију и ценовну политику, продајне канале и промоцију, кадровске и </w:t>
      </w:r>
      <w:r>
        <w:rPr>
          <w:i/>
        </w:rPr>
        <w:t>IT</w:t>
      </w:r>
      <w:r>
        <w:t xml:space="preserve"> капацитете (</w:t>
      </w:r>
      <w:r>
        <w:rPr>
          <w:i/>
        </w:rPr>
        <w:t>booking</w:t>
      </w:r>
      <w:r>
        <w:t xml:space="preserve">, </w:t>
      </w:r>
      <w:r>
        <w:rPr>
          <w:i/>
        </w:rPr>
        <w:t>CRM</w:t>
      </w:r>
      <w:r>
        <w:t xml:space="preserve">, контролинг), инвестиције у објекте и опрему, те управљачке процесе. Посебна пажња посвећена је координацији здравствене и туристичке функције, имајући у виду да је </w:t>
      </w:r>
      <w:r>
        <w:rPr>
          <w:i/>
        </w:rPr>
        <w:t>SB</w:t>
      </w:r>
      <w:r>
        <w:t xml:space="preserve"> пре свега здравствена установа која, у оквирима закона, пружа и услуге тржишног карактера.</w:t>
      </w:r>
    </w:p>
    <w:p w14:paraId="0C95DDD5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10" w:name="_3evn08rh5tgm" w:colFirst="0" w:colLast="0"/>
      <w:bookmarkEnd w:id="10"/>
      <w:bookmarkStart w:id="11" w:name="_6i6697qda4jm" w:colFirst="0" w:colLast="0"/>
      <w:bookmarkEnd w:id="11"/>
      <w:r>
        <w:rPr>
          <w:b/>
          <w:bCs/>
        </w:rPr>
        <w:t>2. Полазне чињенице и контекст</w:t>
      </w:r>
    </w:p>
    <w:p w14:paraId="6C6BF929">
      <w:pPr>
        <w:pStyle w:val="3"/>
        <w:jc w:val="both"/>
      </w:pPr>
    </w:p>
    <w:p w14:paraId="0542905C">
      <w:pPr>
        <w:pStyle w:val="3"/>
        <w:jc w:val="both"/>
      </w:pPr>
      <w:r>
        <w:t>Специјална болница Сокобања поседује ресурсе који, уз адекватно управљање и улагања, омогућавају одржив раст комерцијалног сегмента. У периоду 2022–2023. комерцијални капацитети од 110 постеља коришћени су просечно око 50%, при чему је део соба био изван функције због дотрајалости и неиспуњавања савремених стандарда смештаја. Додатно, сезонско затварање објекта Стари Завод (Сокоград) током зимских месеци (у 2023. укупно 36% календарске године) прекидало је континуитет понуде, смањивало видљивост на тржишту и умањивало годишњу искоришћеност. Последично је пропуштен део сопствених прихода, а репутација комерцијалног сегмента није могла да се развија конзистентно.</w:t>
      </w:r>
    </w:p>
    <w:p w14:paraId="65A8D3A4">
      <w:pPr>
        <w:pStyle w:val="3"/>
        <w:jc w:val="both"/>
      </w:pPr>
    </w:p>
    <w:p w14:paraId="18CC1997">
      <w:pPr>
        <w:pStyle w:val="3"/>
        <w:jc w:val="both"/>
      </w:pPr>
      <w:r>
        <w:t xml:space="preserve">Истовремено, 2024. године решена су имовинско–правна питања над кључним објектима, чиме су отклоњене препреке за планирање и спровођење капиталних реконструкција и модернизације. У организационом смислу, дефицит кадрова за </w:t>
      </w:r>
      <w:r>
        <w:rPr>
          <w:i/>
        </w:rPr>
        <w:t>marketing</w:t>
      </w:r>
      <w:r>
        <w:t xml:space="preserve"> и продају, ограничена дигитална присутност (посебно у сегменту директних онлајн резервација) и одсуство дисциплинованог </w:t>
      </w:r>
      <w:r>
        <w:rPr>
          <w:i/>
        </w:rPr>
        <w:t>revenue</w:t>
      </w:r>
      <w:r>
        <w:t xml:space="preserve"> манагемента допринели су томе да се постојећи терапијски и смештајни потенцијали не преводе у стабилну комерцијалну потражњу. Са становишта тржишта, здравствени туризам у Србији и региону показује узлазни тренд, нарочито када дестинације спајају медицинску поузданост, комфор и доступност услуга. Сокобања има традицију и природне факторе лечења (клима, термалне воде) и углед у респираторним и рехабилитационим програмима – што представља основ за диференцирану понуду и целогодишње пословање.</w:t>
      </w:r>
    </w:p>
    <w:p w14:paraId="68FE759E">
      <w:pPr>
        <w:pStyle w:val="3"/>
        <w:jc w:val="both"/>
      </w:pPr>
    </w:p>
    <w:p w14:paraId="04F31E58">
      <w:pPr>
        <w:pStyle w:val="3"/>
        <w:jc w:val="both"/>
      </w:pPr>
      <w:r>
        <w:t xml:space="preserve">За потребе планирања, као референтна основа узима се 110 комерцијалних постеља (теоријски максимум 40.150 </w:t>
      </w:r>
      <w:r>
        <w:rPr>
          <w:i/>
        </w:rPr>
        <w:t>BO</w:t>
      </w:r>
      <w:r>
        <w:t>–дана годишње). Циљне вредности дефинисане овим планом конзервативно уважавају фазност реконструкције, потребу за постепеним враћањем свих соба у функцију и транзицију ка целогодишњем раду без сезонског затварања.</w:t>
      </w:r>
    </w:p>
    <w:p w14:paraId="7DDFD7AD">
      <w:pPr>
        <w:pStyle w:val="3"/>
        <w:numPr>
          <w:ilvl w:val="0"/>
          <w:numId w:val="2"/>
        </w:numPr>
        <w:spacing w:before="240"/>
        <w:jc w:val="both"/>
      </w:pPr>
      <w:r>
        <w:rPr>
          <w:b/>
          <w:bCs/>
        </w:rPr>
        <w:t>Комерцијални кревети:</w:t>
      </w:r>
      <w:r>
        <w:t xml:space="preserve"> </w:t>
      </w:r>
      <w:r>
        <w:rPr>
          <w:i/>
        </w:rPr>
        <w:t>SB</w:t>
      </w:r>
      <w:r>
        <w:t xml:space="preserve"> располаже са 110 комерцијалних постеља лоцираних примарно у објекту Стари Завод (Сокоград); 2022–2023. забележена је просечна реализација ~50% комерцијалних капацитета. У функцији није било 9 постеља (застарелост/дотрајале собе).</w:t>
      </w:r>
    </w:p>
    <w:p w14:paraId="0F621384">
      <w:pPr>
        <w:pStyle w:val="3"/>
        <w:numPr>
          <w:ilvl w:val="0"/>
          <w:numId w:val="2"/>
        </w:numPr>
        <w:jc w:val="both"/>
      </w:pPr>
      <w:r>
        <w:rPr>
          <w:b/>
          <w:bCs/>
        </w:rPr>
        <w:t>Сезоналност и затварање:</w:t>
      </w:r>
      <w:r>
        <w:t xml:space="preserve"> Стари Завод у 2023. није радио од 2. јануара до 14. маја (≈36% године), што је додатно оборило годишњу искоришћеност.</w:t>
      </w:r>
    </w:p>
    <w:p w14:paraId="4093789C">
      <w:pPr>
        <w:pStyle w:val="3"/>
        <w:numPr>
          <w:ilvl w:val="0"/>
          <w:numId w:val="2"/>
        </w:numPr>
        <w:jc w:val="both"/>
      </w:pPr>
      <w:r>
        <w:rPr>
          <w:b/>
          <w:bCs/>
        </w:rPr>
        <w:t>Имовина и инвестиције:</w:t>
      </w:r>
      <w:r>
        <w:t xml:space="preserve"> 2024. окончана је укњижба више објеката (Стари Завод, виле, амами), чиме су отклоњене препреке за капиталне пројекте.</w:t>
      </w:r>
    </w:p>
    <w:p w14:paraId="7486C159">
      <w:pPr>
        <w:pStyle w:val="3"/>
        <w:numPr>
          <w:ilvl w:val="0"/>
          <w:numId w:val="2"/>
        </w:numPr>
        <w:jc w:val="both"/>
      </w:pPr>
      <w:r>
        <w:rPr>
          <w:b/>
          <w:bCs/>
        </w:rPr>
        <w:t>Терапијска база:</w:t>
      </w:r>
      <w:r>
        <w:t xml:space="preserve"> балнеолошко–физикални капацитети (базени, каде, инхалаторијум, физикална медицина), </w:t>
      </w:r>
      <w:r>
        <w:rPr>
          <w:i/>
        </w:rPr>
        <w:t>wellness</w:t>
      </w:r>
      <w:r>
        <w:t xml:space="preserve"> ресурси (Амам) и традиција бањског лечења чине основу за комерцијалне пакете.</w:t>
      </w:r>
    </w:p>
    <w:p w14:paraId="70B47AE0">
      <w:pPr>
        <w:pStyle w:val="3"/>
        <w:numPr>
          <w:ilvl w:val="0"/>
          <w:numId w:val="2"/>
        </w:numPr>
        <w:spacing w:after="240"/>
        <w:jc w:val="both"/>
      </w:pPr>
      <w:r>
        <w:rPr>
          <w:b/>
          <w:bCs/>
        </w:rPr>
        <w:t>Тржишни приходи:</w:t>
      </w:r>
      <w:r>
        <w:t xml:space="preserve"> тржишни (комерцијални) приходи су значајна, али недовољно развијена компонента укупних прихода, с великим простором раста кроз стандардизацију понуде и професионализацију продаје/маркетинга.</w:t>
      </w:r>
    </w:p>
    <w:p w14:paraId="56DAD3D7">
      <w:pPr>
        <w:pStyle w:val="3"/>
        <w:spacing w:before="240" w:after="240"/>
        <w:jc w:val="both"/>
      </w:pPr>
      <w:r>
        <w:rPr>
          <w:b/>
          <w:bCs/>
        </w:rPr>
        <w:t>Дефиниција референтне капацитетске базе:</w:t>
      </w:r>
      <w:r>
        <w:t xml:space="preserve"> 110 комерцијалних постеља → теоријски максимум 40.150 </w:t>
      </w:r>
      <w:r>
        <w:rPr>
          <w:i/>
        </w:rPr>
        <w:t>BO</w:t>
      </w:r>
      <w:r>
        <w:t>-дана годишње (110×365). Оперативне циљне вредности се постављају после фазног враћања свих постеља у функцију и отварања објекта током целе године.</w:t>
      </w:r>
    </w:p>
    <w:p w14:paraId="23FDD1AC">
      <w:pPr>
        <w:pStyle w:val="5"/>
        <w:spacing w:before="240" w:after="240"/>
        <w:jc w:val="both"/>
        <w:rPr>
          <w:b/>
          <w:bCs/>
        </w:rPr>
      </w:pPr>
      <w:bookmarkStart w:id="12" w:name="_82xviludhy94" w:colFirst="0" w:colLast="0"/>
      <w:bookmarkEnd w:id="12"/>
      <w:r>
        <w:rPr>
          <w:b/>
          <w:bCs/>
        </w:rPr>
        <w:t xml:space="preserve">2.1. </w:t>
      </w:r>
      <w:r>
        <w:rPr>
          <w:b/>
          <w:bCs/>
          <w:i/>
        </w:rPr>
        <w:t>SWOT</w:t>
      </w:r>
      <w:r>
        <w:rPr>
          <w:b/>
          <w:bCs/>
        </w:rPr>
        <w:t xml:space="preserve"> анализа</w:t>
      </w:r>
    </w:p>
    <w:p w14:paraId="5B6182E8">
      <w:pPr>
        <w:pStyle w:val="3"/>
        <w:spacing w:before="240" w:after="240"/>
        <w:jc w:val="both"/>
      </w:pPr>
      <w:r>
        <w:rPr>
          <w:i/>
        </w:rPr>
        <w:t>SWOT</w:t>
      </w:r>
      <w:r>
        <w:t xml:space="preserve"> анализа даје свеобухватан преглед унутрашњих и спољашњих фактора који утичу на остварење циљева болнице.</w:t>
      </w:r>
    </w:p>
    <w:tbl>
      <w:tblPr>
        <w:tblStyle w:val="15"/>
        <w:tblW w:w="9360" w:type="dxa"/>
        <w:tblInd w:w="-1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4680"/>
        <w:gridCol w:w="4680"/>
      </w:tblGrid>
      <w:tr w14:paraId="11AB6C8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468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46E7ECC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Снаге</w:t>
            </w:r>
          </w:p>
          <w:p w14:paraId="4A744B3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</w:p>
          <w:p w14:paraId="6A774A09">
            <w:pPr>
              <w:pStyle w:val="3"/>
              <w:widowControl w:val="0"/>
              <w:numPr>
                <w:ilvl w:val="0"/>
                <w:numId w:val="3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Традиција бањског лечења од преко 180 година.</w:t>
            </w:r>
          </w:p>
          <w:p w14:paraId="7D60242A">
            <w:pPr>
              <w:pStyle w:val="3"/>
              <w:widowControl w:val="0"/>
              <w:numPr>
                <w:ilvl w:val="0"/>
                <w:numId w:val="3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Природни ресурси: минералне воде, повољна клима.</w:t>
            </w:r>
          </w:p>
          <w:p w14:paraId="6C586AD9">
            <w:pPr>
              <w:pStyle w:val="3"/>
              <w:widowControl w:val="0"/>
              <w:numPr>
                <w:ilvl w:val="0"/>
                <w:numId w:val="3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Стручни медицински кадар и специјализоване терапије.</w:t>
            </w:r>
          </w:p>
        </w:tc>
        <w:tc>
          <w:tcPr>
            <w:tcW w:w="468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1707EFF6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Слабости</w:t>
            </w:r>
          </w:p>
          <w:p w14:paraId="268D5DD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</w:p>
          <w:p w14:paraId="1856317D">
            <w:pPr>
              <w:pStyle w:val="3"/>
              <w:widowControl w:val="0"/>
              <w:numPr>
                <w:ilvl w:val="0"/>
                <w:numId w:val="4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Застарели објекти (Стари Завод, Сокоград) и недовољно модернизоване собе.</w:t>
            </w:r>
          </w:p>
          <w:p w14:paraId="3DB55237">
            <w:pPr>
              <w:pStyle w:val="3"/>
              <w:widowControl w:val="0"/>
              <w:numPr>
                <w:ilvl w:val="0"/>
                <w:numId w:val="4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 xml:space="preserve">Недостатак специјализованог кадра за </w:t>
            </w:r>
            <w:r>
              <w:rPr>
                <w:i/>
              </w:rPr>
              <w:t>marketing</w:t>
            </w:r>
            <w:r>
              <w:t xml:space="preserve"> и туризам.</w:t>
            </w:r>
          </w:p>
          <w:p w14:paraId="701FDE98">
            <w:pPr>
              <w:pStyle w:val="3"/>
              <w:widowControl w:val="0"/>
              <w:numPr>
                <w:ilvl w:val="0"/>
                <w:numId w:val="4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Ограничени сопствени финансијски ресурси.</w:t>
            </w:r>
          </w:p>
        </w:tc>
      </w:tr>
      <w:tr w14:paraId="2A2C3CC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</w:tblPrEx>
        <w:trPr>
          <w:cantSplit/>
          <w:tblHeader/>
        </w:trPr>
        <w:tc>
          <w:tcPr>
            <w:tcW w:w="468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786F1B88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Прилике</w:t>
            </w:r>
          </w:p>
          <w:p w14:paraId="59801BD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</w:p>
          <w:p w14:paraId="22B96652">
            <w:pPr>
              <w:pStyle w:val="3"/>
              <w:widowControl w:val="0"/>
              <w:numPr>
                <w:ilvl w:val="0"/>
                <w:numId w:val="5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Глобални раст потражње за здравственим туризмом.</w:t>
            </w:r>
          </w:p>
          <w:p w14:paraId="3D970F63">
            <w:pPr>
              <w:pStyle w:val="3"/>
              <w:widowControl w:val="0"/>
              <w:numPr>
                <w:ilvl w:val="0"/>
                <w:numId w:val="5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 xml:space="preserve">Могућност повлачења средстава из </w:t>
            </w:r>
            <w:r>
              <w:rPr>
                <w:i/>
              </w:rPr>
              <w:t>EU</w:t>
            </w:r>
            <w:r>
              <w:t xml:space="preserve"> фондова и јавних инвестиција.</w:t>
            </w:r>
          </w:p>
          <w:p w14:paraId="67361A43">
            <w:pPr>
              <w:pStyle w:val="3"/>
              <w:widowControl w:val="0"/>
              <w:numPr>
                <w:ilvl w:val="0"/>
                <w:numId w:val="5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Партнерства са осигуравајућим кућама и компанијама за Б2Б програме.</w:t>
            </w:r>
          </w:p>
        </w:tc>
        <w:tc>
          <w:tcPr>
            <w:tcW w:w="4680" w:type="dxa"/>
            <w:tcMar>
              <w:top w:w="99" w:type="dxa"/>
              <w:left w:w="99" w:type="dxa"/>
              <w:bottom w:w="99" w:type="dxa"/>
              <w:right w:w="99" w:type="dxa"/>
            </w:tcMar>
          </w:tcPr>
          <w:p w14:paraId="219A5941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Претње</w:t>
            </w:r>
          </w:p>
          <w:p w14:paraId="395ECF1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</w:p>
          <w:p w14:paraId="053B2283">
            <w:pPr>
              <w:pStyle w:val="3"/>
              <w:widowControl w:val="0"/>
              <w:numPr>
                <w:ilvl w:val="0"/>
                <w:numId w:val="6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Јачање конкуренције у региону (Врњачка Бања, Нишка Бања).</w:t>
            </w:r>
          </w:p>
          <w:p w14:paraId="48A7B2D0">
            <w:pPr>
              <w:pStyle w:val="3"/>
              <w:widowControl w:val="0"/>
              <w:numPr>
                <w:ilvl w:val="0"/>
                <w:numId w:val="6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Демографске промене и смањење броја домаћих корисника.</w:t>
            </w:r>
          </w:p>
          <w:p w14:paraId="6483AA61">
            <w:pPr>
              <w:pStyle w:val="3"/>
              <w:widowControl w:val="0"/>
              <w:numPr>
                <w:ilvl w:val="0"/>
                <w:numId w:val="6"/>
              </w:num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</w:pPr>
            <w:r>
              <w:t>Потенцијалне регулаторне промене у здравственом и туристичком сектору.</w:t>
            </w:r>
          </w:p>
        </w:tc>
      </w:tr>
    </w:tbl>
    <w:p w14:paraId="7E239911">
      <w:pPr>
        <w:pStyle w:val="3"/>
        <w:spacing w:before="240" w:after="240"/>
        <w:jc w:val="both"/>
        <w:rPr>
          <w:color w:val="000000"/>
        </w:rPr>
      </w:pPr>
      <w:r>
        <w:rPr>
          <w:i/>
        </w:rPr>
        <w:t>SWOT</w:t>
      </w:r>
      <w:r>
        <w:t xml:space="preserve"> анализа потврђује да </w:t>
      </w:r>
      <w:r>
        <w:rPr>
          <w:i/>
        </w:rPr>
        <w:t>SB</w:t>
      </w:r>
      <w:r>
        <w:t xml:space="preserve"> Сокобања има снажну основу у традицији и ресурсима, али да су модернизација објеката и јачање маркетинга кључни за превазилажење слабости и реализацију прилика.</w:t>
      </w:r>
      <w:r>
        <w:br w:type="page"/>
      </w:r>
    </w:p>
    <w:p w14:paraId="36B42307">
      <w:pPr>
        <w:pStyle w:val="4"/>
        <w:keepNext w:val="0"/>
        <w:keepLines w:val="0"/>
        <w:spacing w:before="280"/>
        <w:jc w:val="both"/>
        <w:rPr>
          <w:b/>
          <w:bCs/>
        </w:rPr>
      </w:pPr>
      <w:bookmarkStart w:id="13" w:name="_wd71puzer2we" w:colFirst="0" w:colLast="0"/>
      <w:bookmarkEnd w:id="13"/>
      <w:r>
        <w:rPr>
          <w:b/>
          <w:bCs/>
        </w:rPr>
        <w:t>3. Стратешки циљеви (2026–2029) и циљне вредности</w:t>
      </w:r>
    </w:p>
    <w:p w14:paraId="37B09524">
      <w:pPr>
        <w:pStyle w:val="3"/>
        <w:spacing w:before="240" w:after="240"/>
        <w:ind w:right="600"/>
        <w:jc w:val="both"/>
      </w:pPr>
      <w:r>
        <w:t>Стратешки циљеви су постављени тако да трајно уклоне узроке недовољне искоришћености и изграде самоодржив комерцијални модел. Први циљ је реконструкција и модернизација комерцијалних смештајних капацитета, са тежиштем на Старом Заводу (Сокоград) и деловима Новог Завода који су кључни за комерцијални сегмент. Циљ подразумева пуну функционализацију свих 110 постеља, стандардизацију услуге кроз увођење категорија „</w:t>
      </w:r>
      <w:r>
        <w:rPr>
          <w:i/>
        </w:rPr>
        <w:t>standard</w:t>
      </w:r>
      <w:r>
        <w:t>“ и „</w:t>
      </w:r>
      <w:r>
        <w:rPr>
          <w:i/>
        </w:rPr>
        <w:t>premium</w:t>
      </w:r>
      <w:r>
        <w:t>“, унапређење енергетске ефикасности и квалитета ентеријера, као и подизање пратећих садржаја (</w:t>
      </w:r>
      <w:r>
        <w:rPr>
          <w:i/>
        </w:rPr>
        <w:t>IT</w:t>
      </w:r>
      <w:r>
        <w:t xml:space="preserve"> и </w:t>
      </w:r>
      <w:r>
        <w:rPr>
          <w:i/>
        </w:rPr>
        <w:t>TV</w:t>
      </w:r>
      <w:r>
        <w:t xml:space="preserve"> опрема, климатизација, сигнализација, хигијенски стандарди). Циљна вредност је да до краја 2027. Стари Завод буде у потпуности реновиран и оперативан, док се 2028. завршавају приоритетни радови у Новом Заводу, уз модернизацију инхалаторијума и физикалне медицине; 2029. је резервисана за „</w:t>
      </w:r>
      <w:r>
        <w:rPr>
          <w:i/>
        </w:rPr>
        <w:t>fine</w:t>
      </w:r>
      <w:r>
        <w:t>–</w:t>
      </w:r>
      <w:r>
        <w:rPr>
          <w:i/>
        </w:rPr>
        <w:t>tuning</w:t>
      </w:r>
      <w:r>
        <w:t>“ и успостављање режима превентивног одржавања.</w:t>
      </w:r>
    </w:p>
    <w:p w14:paraId="0C565881">
      <w:pPr>
        <w:pStyle w:val="3"/>
        <w:spacing w:before="240" w:after="240"/>
        <w:ind w:right="600"/>
        <w:jc w:val="both"/>
      </w:pPr>
      <w:r>
        <w:t xml:space="preserve">Други циљ усмерен је на раст попуњености и броја </w:t>
      </w:r>
      <w:r>
        <w:rPr>
          <w:i/>
        </w:rPr>
        <w:t>BO</w:t>
      </w:r>
      <w:r>
        <w:t xml:space="preserve">–дана као директне последице инфраструктурног и организационог унапређења. Путања раста предвиђа најмање 60% попуњености (≈22.000 </w:t>
      </w:r>
      <w:r>
        <w:rPr>
          <w:i/>
        </w:rPr>
        <w:t>BO</w:t>
      </w:r>
      <w:r>
        <w:t>–дана) у 2026, 70% (≈26.000) у 2027, 75% (≈29.000) у 2028. и 80% (≈32.000) у 2029. години. Ове вредности су засноване на транзицији ка целогодишњем пословању, смањењу сезоналности и усклађеном миксу директних и посредних канала продаје.</w:t>
      </w:r>
    </w:p>
    <w:p w14:paraId="678DF8D8">
      <w:pPr>
        <w:pStyle w:val="3"/>
        <w:spacing w:before="240" w:after="240"/>
        <w:ind w:right="600"/>
        <w:jc w:val="both"/>
      </w:pPr>
      <w:r>
        <w:t xml:space="preserve">Трећи циљ обухвата повећање удела тржишних прихода и раст прихода по </w:t>
      </w:r>
      <w:r>
        <w:rPr>
          <w:i/>
        </w:rPr>
        <w:t>BO</w:t>
      </w:r>
      <w:r>
        <w:t>–дану (</w:t>
      </w:r>
      <w:r>
        <w:rPr>
          <w:i/>
        </w:rPr>
        <w:t>RevPBD</w:t>
      </w:r>
      <w:r>
        <w:t xml:space="preserve">) кроз дисциплиновану ценовну политику и активно управљање пакетима. Циљ је да удео комерцијалних прихода порасте са ~32% у 2026. на ≥40% у 2029, уз годишњи раст </w:t>
      </w:r>
      <w:r>
        <w:rPr>
          <w:i/>
        </w:rPr>
        <w:t>RevPBD</w:t>
      </w:r>
      <w:r>
        <w:t xml:space="preserve"> од 10–12%. </w:t>
      </w:r>
      <w:r>
        <w:rPr>
          <w:i/>
        </w:rPr>
        <w:t>To</w:t>
      </w:r>
      <w:r>
        <w:t xml:space="preserve"> се постиже стандардизацијом пакетне понуде (респираторни, пост–ортопедски, корпоративни и </w:t>
      </w:r>
      <w:r>
        <w:rPr>
          <w:i/>
        </w:rPr>
        <w:t>wellness</w:t>
      </w:r>
      <w:r>
        <w:t xml:space="preserve"> програми), сегментацијом цена по сезони и категорији собе и сталном контролом марже.</w:t>
      </w:r>
    </w:p>
    <w:p w14:paraId="4C906836">
      <w:pPr>
        <w:pStyle w:val="3"/>
        <w:spacing w:before="240" w:after="240"/>
        <w:ind w:right="600"/>
        <w:jc w:val="both"/>
      </w:pPr>
      <w:r>
        <w:t>Четврти циљ односи се на изградњу маркетиншко–продајних капацитета кроз формирање посвећеног тима (најмање три: менаџер продаје/маркетинга, дигитал/</w:t>
      </w:r>
      <w:r>
        <w:rPr>
          <w:i/>
        </w:rPr>
        <w:t>booking</w:t>
      </w:r>
      <w:r>
        <w:t xml:space="preserve"> специјалиста и Б2Б координатор), увођење </w:t>
      </w:r>
      <w:r>
        <w:rPr>
          <w:i/>
        </w:rPr>
        <w:t>CRM</w:t>
      </w:r>
      <w:r>
        <w:t xml:space="preserve"> платформе и јачање дигиталне присутности. Циљне вредности: тим формиран до краја 2026, ≥10 активних Б2Б уговора у 2027, ≥40% комерцијалних резервација директним онлајн каналом до 2028.</w:t>
      </w:r>
    </w:p>
    <w:p w14:paraId="5AFAAF1D">
      <w:pPr>
        <w:pStyle w:val="3"/>
        <w:spacing w:before="240" w:after="240"/>
        <w:ind w:right="600"/>
        <w:jc w:val="both"/>
      </w:pPr>
      <w:r>
        <w:t xml:space="preserve">Пети циљ је интеграција здравствене и туристичке понуде Сокобање кроз партнерства са </w:t>
      </w:r>
      <w:r>
        <w:rPr>
          <w:i/>
        </w:rPr>
        <w:t>TOSB</w:t>
      </w:r>
      <w:r>
        <w:t xml:space="preserve"> и локалним угоститељима, као и међународну промоцију. План је да до 2027. буду успостављена најмање три ко–брендирана пакета, а до 2029. најмање два међународна пројекта/промотивне иницијативе у здравственом туризму, чиме се продужава сезона, повећава видљивост и диверсификује потражња.</w:t>
      </w:r>
    </w:p>
    <w:p w14:paraId="5E1CE105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14" w:name="_w6rmvfh3jf0" w:colFirst="0" w:colLast="0"/>
      <w:bookmarkEnd w:id="14"/>
      <w:r>
        <w:rPr>
          <w:b/>
          <w:bCs/>
          <w:color w:val="000000"/>
          <w:sz w:val="22"/>
          <w:szCs w:val="22"/>
        </w:rPr>
        <w:t>Циљ 1: Реконструкција и модернизација комерцијалних капацитета</w:t>
      </w:r>
    </w:p>
    <w:p w14:paraId="14F175D4">
      <w:pPr>
        <w:pStyle w:val="3"/>
        <w:numPr>
          <w:ilvl w:val="0"/>
          <w:numId w:val="7"/>
        </w:numPr>
        <w:spacing w:before="240"/>
        <w:jc w:val="both"/>
      </w:pPr>
      <w:r>
        <w:rPr>
          <w:b/>
          <w:bCs/>
        </w:rPr>
        <w:t>Исход:</w:t>
      </w:r>
      <w:r>
        <w:t xml:space="preserve"> Стављање у пуну функцију 110 комерцијалних постеља; стандардизован квалитет смештаја (категорије „</w:t>
      </w:r>
      <w:r>
        <w:rPr>
          <w:i/>
        </w:rPr>
        <w:t>standard</w:t>
      </w:r>
      <w:r>
        <w:t>“ и „</w:t>
      </w:r>
      <w:r>
        <w:rPr>
          <w:i/>
        </w:rPr>
        <w:t>premium</w:t>
      </w:r>
      <w:r>
        <w:t>“).</w:t>
      </w:r>
    </w:p>
    <w:p w14:paraId="0E4206E8">
      <w:pPr>
        <w:pStyle w:val="3"/>
        <w:numPr>
          <w:ilvl w:val="0"/>
          <w:numId w:val="7"/>
        </w:numPr>
        <w:jc w:val="both"/>
      </w:pPr>
      <w:r>
        <w:rPr>
          <w:b/>
          <w:bCs/>
        </w:rPr>
        <w:t>Циљне вредности:</w:t>
      </w:r>
    </w:p>
    <w:p w14:paraId="160FB14D">
      <w:pPr>
        <w:pStyle w:val="3"/>
        <w:numPr>
          <w:ilvl w:val="1"/>
          <w:numId w:val="7"/>
        </w:numPr>
        <w:jc w:val="both"/>
      </w:pPr>
      <w:r>
        <w:t>2026: пројекти и финансирање уговорени; започета реконструкција Старог Завода и приоритетних соба.</w:t>
      </w:r>
    </w:p>
    <w:p w14:paraId="7311813B">
      <w:pPr>
        <w:pStyle w:val="3"/>
        <w:numPr>
          <w:ilvl w:val="1"/>
          <w:numId w:val="7"/>
        </w:numPr>
        <w:jc w:val="both"/>
      </w:pPr>
      <w:r>
        <w:t>2027: завршен Стари Завод; 110/110 постеља у функцији; уведене категорије соба.</w:t>
      </w:r>
    </w:p>
    <w:p w14:paraId="01979F5C">
      <w:pPr>
        <w:pStyle w:val="3"/>
        <w:numPr>
          <w:ilvl w:val="1"/>
          <w:numId w:val="7"/>
        </w:numPr>
        <w:jc w:val="both"/>
      </w:pPr>
      <w:r>
        <w:t>2028: реновирани сегменти Новог Завода и Сокограда релевантни за комерцијалу; модернизован инхалаторијум/физикална.</w:t>
      </w:r>
    </w:p>
    <w:p w14:paraId="30C947B1">
      <w:pPr>
        <w:pStyle w:val="3"/>
        <w:numPr>
          <w:ilvl w:val="1"/>
          <w:numId w:val="7"/>
        </w:numPr>
        <w:spacing w:after="240"/>
        <w:jc w:val="both"/>
      </w:pPr>
      <w:r>
        <w:t>2029: „</w:t>
      </w:r>
      <w:r>
        <w:rPr>
          <w:i/>
        </w:rPr>
        <w:t>fine</w:t>
      </w:r>
      <w:r>
        <w:t>-</w:t>
      </w:r>
      <w:r>
        <w:rPr>
          <w:i/>
        </w:rPr>
        <w:t>tuning</w:t>
      </w:r>
      <w:r>
        <w:t>“ ентеријера и опреме; одрживи режим превентивног одржавања.</w:t>
      </w:r>
      <w:r>
        <w:br w:type="textWrapping"/>
      </w:r>
    </w:p>
    <w:p w14:paraId="34D01EC7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15" w:name="_nz3nbd7bwrn1" w:colFirst="0" w:colLast="0"/>
      <w:bookmarkEnd w:id="15"/>
      <w:r>
        <w:rPr>
          <w:b/>
          <w:bCs/>
          <w:color w:val="000000"/>
          <w:sz w:val="22"/>
          <w:szCs w:val="22"/>
        </w:rPr>
        <w:t>Циљ 2: Повећање попуњености (</w:t>
      </w:r>
      <w:r>
        <w:rPr>
          <w:b/>
          <w:bCs/>
          <w:i/>
          <w:color w:val="000000"/>
          <w:sz w:val="22"/>
          <w:szCs w:val="22"/>
        </w:rPr>
        <w:t>OCC</w:t>
      </w:r>
      <w:r>
        <w:rPr>
          <w:b/>
          <w:bCs/>
          <w:color w:val="000000"/>
          <w:sz w:val="22"/>
          <w:szCs w:val="22"/>
        </w:rPr>
        <w:t xml:space="preserve">) и </w:t>
      </w:r>
      <w:r>
        <w:rPr>
          <w:b/>
          <w:bCs/>
          <w:i/>
          <w:color w:val="000000"/>
          <w:sz w:val="22"/>
          <w:szCs w:val="22"/>
        </w:rPr>
        <w:t>BO</w:t>
      </w:r>
      <w:r>
        <w:rPr>
          <w:b/>
          <w:bCs/>
          <w:color w:val="000000"/>
          <w:sz w:val="22"/>
          <w:szCs w:val="22"/>
        </w:rPr>
        <w:t>-дана комерцијалног сегмента</w:t>
      </w:r>
    </w:p>
    <w:p w14:paraId="2F399697">
      <w:pPr>
        <w:pStyle w:val="3"/>
        <w:numPr>
          <w:ilvl w:val="0"/>
          <w:numId w:val="8"/>
        </w:numPr>
        <w:spacing w:before="240"/>
        <w:jc w:val="both"/>
      </w:pPr>
      <w:r>
        <w:rPr>
          <w:b/>
          <w:bCs/>
        </w:rPr>
        <w:t>Исход:</w:t>
      </w:r>
      <w:r>
        <w:t xml:space="preserve"> Стабилан раст коришћења кревета и терапијских слотова кроз целогодишње пословање.</w:t>
      </w:r>
    </w:p>
    <w:p w14:paraId="4F52FC54">
      <w:pPr>
        <w:pStyle w:val="3"/>
        <w:numPr>
          <w:ilvl w:val="0"/>
          <w:numId w:val="8"/>
        </w:numPr>
        <w:jc w:val="both"/>
      </w:pPr>
      <w:r>
        <w:rPr>
          <w:b/>
          <w:bCs/>
        </w:rPr>
        <w:t>Циљне вредности (</w:t>
      </w:r>
      <w:r>
        <w:rPr>
          <w:b/>
          <w:bCs/>
          <w:i/>
        </w:rPr>
        <w:t>OCC</w:t>
      </w:r>
      <w:r>
        <w:rPr>
          <w:b/>
          <w:bCs/>
        </w:rPr>
        <w:t>/</w:t>
      </w:r>
      <w:r>
        <w:rPr>
          <w:b/>
          <w:bCs/>
          <w:i/>
        </w:rPr>
        <w:t>BO</w:t>
      </w:r>
      <w:r>
        <w:rPr>
          <w:b/>
          <w:bCs/>
        </w:rPr>
        <w:t>-дани):</w:t>
      </w:r>
    </w:p>
    <w:p w14:paraId="3DA70010">
      <w:pPr>
        <w:pStyle w:val="3"/>
        <w:numPr>
          <w:ilvl w:val="1"/>
          <w:numId w:val="8"/>
        </w:numPr>
        <w:jc w:val="both"/>
      </w:pPr>
      <w:r>
        <w:rPr>
          <w:rFonts w:ascii="Arial Unicode MS" w:hAnsi="Arial Unicode MS" w:eastAsia="Arial Unicode MS" w:cs="Arial Unicode MS"/>
        </w:rPr>
        <w:t xml:space="preserve">2026: ≥60% </w:t>
      </w:r>
      <w:r>
        <w:rPr>
          <w:rFonts w:ascii="Arial Unicode MS" w:hAnsi="Arial Unicode MS" w:eastAsia="Arial Unicode MS" w:cs="Arial Unicode MS"/>
          <w:i/>
        </w:rPr>
        <w:t>OCC</w:t>
      </w:r>
      <w:r>
        <w:rPr>
          <w:rFonts w:ascii="Arial Unicode MS" w:hAnsi="Arial Unicode MS" w:eastAsia="Arial Unicode MS" w:cs="Arial Unicode MS"/>
        </w:rPr>
        <w:t xml:space="preserve"> (~22.000 </w:t>
      </w:r>
      <w:r>
        <w:rPr>
          <w:rFonts w:ascii="Arial Unicode MS" w:hAnsi="Arial Unicode MS" w:eastAsia="Arial Unicode MS" w:cs="Arial Unicode MS"/>
          <w:i/>
        </w:rPr>
        <w:t>BO</w:t>
      </w:r>
      <w:r>
        <w:rPr>
          <w:rFonts w:ascii="Arial Unicode MS" w:hAnsi="Arial Unicode MS" w:eastAsia="Arial Unicode MS" w:cs="Arial Unicode MS"/>
        </w:rPr>
        <w:t>-дана)</w:t>
      </w:r>
      <w:r>
        <w:rPr>
          <w:rFonts w:ascii="Arial Unicode MS" w:hAnsi="Arial Unicode MS" w:eastAsia="Arial Unicode MS" w:cs="Arial Unicode MS"/>
        </w:rPr>
        <w:br w:type="textWrapping"/>
      </w:r>
      <w:r>
        <w:rPr>
          <w:rFonts w:ascii="Arial Unicode MS" w:hAnsi="Arial Unicode MS" w:eastAsia="Arial Unicode MS" w:cs="Arial Unicode MS"/>
        </w:rPr>
        <w:t xml:space="preserve">2027: ≥70% </w:t>
      </w:r>
      <w:r>
        <w:rPr>
          <w:rFonts w:ascii="Arial Unicode MS" w:hAnsi="Arial Unicode MS" w:eastAsia="Arial Unicode MS" w:cs="Arial Unicode MS"/>
          <w:i/>
        </w:rPr>
        <w:t>OCC</w:t>
      </w:r>
      <w:r>
        <w:rPr>
          <w:rFonts w:ascii="Arial Unicode MS" w:hAnsi="Arial Unicode MS" w:eastAsia="Arial Unicode MS" w:cs="Arial Unicode MS"/>
        </w:rPr>
        <w:t xml:space="preserve"> (~26.000 </w:t>
      </w:r>
      <w:r>
        <w:rPr>
          <w:rFonts w:ascii="Arial Unicode MS" w:hAnsi="Arial Unicode MS" w:eastAsia="Arial Unicode MS" w:cs="Arial Unicode MS"/>
          <w:i/>
        </w:rPr>
        <w:t>BO</w:t>
      </w:r>
      <w:r>
        <w:rPr>
          <w:rFonts w:ascii="Arial Unicode MS" w:hAnsi="Arial Unicode MS" w:eastAsia="Arial Unicode MS" w:cs="Arial Unicode MS"/>
        </w:rPr>
        <w:t>-дана)</w:t>
      </w:r>
    </w:p>
    <w:p w14:paraId="4ABA4A5E">
      <w:pPr>
        <w:pStyle w:val="3"/>
        <w:numPr>
          <w:ilvl w:val="1"/>
          <w:numId w:val="8"/>
        </w:numPr>
        <w:jc w:val="both"/>
      </w:pPr>
      <w:r>
        <w:rPr>
          <w:rFonts w:ascii="Arial Unicode MS" w:hAnsi="Arial Unicode MS" w:eastAsia="Arial Unicode MS" w:cs="Arial Unicode MS"/>
        </w:rPr>
        <w:t xml:space="preserve">2028: ≥75% </w:t>
      </w:r>
      <w:r>
        <w:rPr>
          <w:rFonts w:ascii="Arial Unicode MS" w:hAnsi="Arial Unicode MS" w:eastAsia="Arial Unicode MS" w:cs="Arial Unicode MS"/>
          <w:i/>
        </w:rPr>
        <w:t>OCC</w:t>
      </w:r>
      <w:r>
        <w:rPr>
          <w:rFonts w:ascii="Arial Unicode MS" w:hAnsi="Arial Unicode MS" w:eastAsia="Arial Unicode MS" w:cs="Arial Unicode MS"/>
        </w:rPr>
        <w:t xml:space="preserve"> (~29.000 </w:t>
      </w:r>
      <w:r>
        <w:rPr>
          <w:rFonts w:ascii="Arial Unicode MS" w:hAnsi="Arial Unicode MS" w:eastAsia="Arial Unicode MS" w:cs="Arial Unicode MS"/>
          <w:i/>
        </w:rPr>
        <w:t>BO</w:t>
      </w:r>
      <w:r>
        <w:rPr>
          <w:rFonts w:ascii="Arial Unicode MS" w:hAnsi="Arial Unicode MS" w:eastAsia="Arial Unicode MS" w:cs="Arial Unicode MS"/>
        </w:rPr>
        <w:t>-дана)</w:t>
      </w:r>
    </w:p>
    <w:p w14:paraId="67C3C8D8">
      <w:pPr>
        <w:pStyle w:val="3"/>
        <w:numPr>
          <w:ilvl w:val="1"/>
          <w:numId w:val="8"/>
        </w:numPr>
        <w:spacing w:after="240"/>
        <w:jc w:val="both"/>
      </w:pPr>
      <w:r>
        <w:rPr>
          <w:rFonts w:ascii="Arial Unicode MS" w:hAnsi="Arial Unicode MS" w:eastAsia="Arial Unicode MS" w:cs="Arial Unicode MS"/>
        </w:rPr>
        <w:t xml:space="preserve">2029: ≥80% </w:t>
      </w:r>
      <w:r>
        <w:rPr>
          <w:rFonts w:ascii="Arial Unicode MS" w:hAnsi="Arial Unicode MS" w:eastAsia="Arial Unicode MS" w:cs="Arial Unicode MS"/>
          <w:i/>
        </w:rPr>
        <w:t>OCC</w:t>
      </w:r>
      <w:r>
        <w:rPr>
          <w:rFonts w:ascii="Arial Unicode MS" w:hAnsi="Arial Unicode MS" w:eastAsia="Arial Unicode MS" w:cs="Arial Unicode MS"/>
        </w:rPr>
        <w:t xml:space="preserve"> (~32.000 </w:t>
      </w:r>
      <w:r>
        <w:rPr>
          <w:rFonts w:ascii="Arial Unicode MS" w:hAnsi="Arial Unicode MS" w:eastAsia="Arial Unicode MS" w:cs="Arial Unicode MS"/>
          <w:i/>
        </w:rPr>
        <w:t>BO</w:t>
      </w:r>
      <w:r>
        <w:rPr>
          <w:rFonts w:ascii="Arial Unicode MS" w:hAnsi="Arial Unicode MS" w:eastAsia="Arial Unicode MS" w:cs="Arial Unicode MS"/>
        </w:rPr>
        <w:t>-дана)</w:t>
      </w:r>
    </w:p>
    <w:p w14:paraId="5CFCF85C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16" w:name="_d7b7lbmeqlw6" w:colFirst="0" w:colLast="0"/>
      <w:bookmarkEnd w:id="16"/>
      <w:r>
        <w:rPr>
          <w:b/>
          <w:bCs/>
          <w:color w:val="000000"/>
          <w:sz w:val="22"/>
          <w:szCs w:val="22"/>
        </w:rPr>
        <w:t>Циљ 3: Повећање прихода из здравственог туризма</w:t>
      </w:r>
    </w:p>
    <w:p w14:paraId="6FD0BEDB">
      <w:pPr>
        <w:pStyle w:val="3"/>
        <w:numPr>
          <w:ilvl w:val="0"/>
          <w:numId w:val="9"/>
        </w:numPr>
        <w:spacing w:before="240"/>
        <w:jc w:val="both"/>
      </w:pPr>
      <w:r>
        <w:rPr>
          <w:b/>
          <w:bCs/>
        </w:rPr>
        <w:t>Исход:</w:t>
      </w:r>
      <w:r>
        <w:t xml:space="preserve"> Већи удео тржишних прихода кроз пакетизацију и </w:t>
      </w:r>
      <w:r>
        <w:rPr>
          <w:i/>
        </w:rPr>
        <w:t>revenue</w:t>
      </w:r>
      <w:r>
        <w:t xml:space="preserve"> </w:t>
      </w:r>
      <w:r>
        <w:rPr>
          <w:i/>
        </w:rPr>
        <w:t>management</w:t>
      </w:r>
      <w:r>
        <w:t>.</w:t>
      </w:r>
    </w:p>
    <w:p w14:paraId="3636C4CE">
      <w:pPr>
        <w:pStyle w:val="3"/>
        <w:numPr>
          <w:ilvl w:val="0"/>
          <w:numId w:val="9"/>
        </w:numPr>
        <w:spacing w:after="240"/>
        <w:jc w:val="both"/>
      </w:pPr>
      <w:r>
        <w:rPr>
          <w:b/>
          <w:bCs/>
        </w:rPr>
        <w:t>Циљне вредности:</w:t>
      </w:r>
      <w:r>
        <w:t xml:space="preserve"> удео тржишних прихода 32% → ≥40% (2026→2029); </w:t>
      </w:r>
      <w:r>
        <w:rPr>
          <w:i/>
        </w:rPr>
        <w:t>RevPBD</w:t>
      </w:r>
      <w:r>
        <w:t xml:space="preserve"> (приход по </w:t>
      </w:r>
      <w:r>
        <w:rPr>
          <w:i/>
        </w:rPr>
        <w:t>BO</w:t>
      </w:r>
      <w:r>
        <w:t xml:space="preserve">-дану) +10–12% </w:t>
      </w:r>
      <w:r>
        <w:rPr>
          <w:i/>
        </w:rPr>
        <w:t>YoY</w:t>
      </w:r>
      <w:r>
        <w:t>.</w:t>
      </w:r>
    </w:p>
    <w:p w14:paraId="6E28E661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17" w:name="_5dls56e006wx" w:colFirst="0" w:colLast="0"/>
      <w:bookmarkEnd w:id="17"/>
      <w:r>
        <w:rPr>
          <w:b/>
          <w:bCs/>
          <w:color w:val="000000"/>
          <w:sz w:val="22"/>
          <w:szCs w:val="22"/>
        </w:rPr>
        <w:t>Циљ 4: Изградња маркетиншко–продајних капацитета</w:t>
      </w:r>
    </w:p>
    <w:p w14:paraId="321B0562">
      <w:pPr>
        <w:pStyle w:val="3"/>
        <w:numPr>
          <w:ilvl w:val="0"/>
          <w:numId w:val="10"/>
        </w:numPr>
        <w:spacing w:before="240"/>
        <w:jc w:val="both"/>
      </w:pPr>
      <w:r>
        <w:rPr>
          <w:b/>
          <w:bCs/>
        </w:rPr>
        <w:t>Исход:</w:t>
      </w:r>
      <w:r>
        <w:t xml:space="preserve"> Професионализована комерцијална функција (тим, процеси, алати).</w:t>
      </w:r>
    </w:p>
    <w:p w14:paraId="51AA5B0A">
      <w:pPr>
        <w:pStyle w:val="3"/>
        <w:numPr>
          <w:ilvl w:val="0"/>
          <w:numId w:val="10"/>
        </w:numPr>
        <w:jc w:val="both"/>
      </w:pPr>
      <w:r>
        <w:rPr>
          <w:b/>
          <w:bCs/>
        </w:rPr>
        <w:t>Циљне вредности:</w:t>
      </w:r>
    </w:p>
    <w:p w14:paraId="0F7371B1">
      <w:pPr>
        <w:pStyle w:val="3"/>
        <w:numPr>
          <w:ilvl w:val="1"/>
          <w:numId w:val="10"/>
        </w:numPr>
        <w:jc w:val="both"/>
      </w:pPr>
      <w:r>
        <w:t>2026: формирана Комерцијално–маркетиншка служба (мин. 3: менаџер продаје/маркетинга; специјалиста за дигитал/</w:t>
      </w:r>
      <w:r>
        <w:rPr>
          <w:i/>
        </w:rPr>
        <w:t>booking</w:t>
      </w:r>
      <w:r>
        <w:t>; Б2Б координатор).</w:t>
      </w:r>
    </w:p>
    <w:p w14:paraId="5ADD4BB8">
      <w:pPr>
        <w:pStyle w:val="3"/>
        <w:numPr>
          <w:ilvl w:val="1"/>
          <w:numId w:val="10"/>
        </w:numPr>
        <w:jc w:val="both"/>
      </w:pPr>
      <w:r>
        <w:rPr>
          <w:rFonts w:ascii="Arial Unicode MS" w:hAnsi="Arial Unicode MS" w:eastAsia="Arial Unicode MS" w:cs="Arial Unicode MS"/>
        </w:rPr>
        <w:t>2027: ≥10 активних Б2Б уговора (компаније, осигурања, агенције).</w:t>
      </w:r>
    </w:p>
    <w:p w14:paraId="76AEC96D">
      <w:pPr>
        <w:pStyle w:val="3"/>
        <w:numPr>
          <w:ilvl w:val="1"/>
          <w:numId w:val="10"/>
        </w:numPr>
        <w:spacing w:after="240"/>
        <w:jc w:val="both"/>
      </w:pPr>
      <w:r>
        <w:rPr>
          <w:rFonts w:ascii="Arial Unicode MS" w:hAnsi="Arial Unicode MS" w:eastAsia="Arial Unicode MS" w:cs="Arial Unicode MS"/>
        </w:rPr>
        <w:t xml:space="preserve">2028: ≥40% комерцијалних резервација директним </w:t>
      </w:r>
      <w:r>
        <w:rPr>
          <w:rFonts w:ascii="Arial Unicode MS" w:hAnsi="Arial Unicode MS" w:eastAsia="Arial Unicode MS" w:cs="Arial Unicode MS"/>
          <w:i/>
        </w:rPr>
        <w:t>online</w:t>
      </w:r>
      <w:r>
        <w:rPr>
          <w:rFonts w:ascii="Arial Unicode MS" w:hAnsi="Arial Unicode MS" w:eastAsia="Arial Unicode MS" w:cs="Arial Unicode MS"/>
        </w:rPr>
        <w:t xml:space="preserve"> каналом (</w:t>
      </w:r>
      <w:r>
        <w:rPr>
          <w:rFonts w:ascii="Arial Unicode MS" w:hAnsi="Arial Unicode MS" w:eastAsia="Arial Unicode MS" w:cs="Arial Unicode MS"/>
          <w:i/>
        </w:rPr>
        <w:t>booking</w:t>
      </w:r>
      <w:r>
        <w:rPr>
          <w:rFonts w:ascii="Arial Unicode MS" w:hAnsi="Arial Unicode MS" w:eastAsia="Arial Unicode MS" w:cs="Arial Unicode MS"/>
        </w:rPr>
        <w:t xml:space="preserve"> </w:t>
      </w:r>
      <w:r>
        <w:rPr>
          <w:rFonts w:ascii="Arial Unicode MS" w:hAnsi="Arial Unicode MS" w:eastAsia="Arial Unicode MS" w:cs="Arial Unicode MS"/>
          <w:i/>
        </w:rPr>
        <w:t>engine</w:t>
      </w:r>
      <w:r>
        <w:rPr>
          <w:rFonts w:ascii="Arial Unicode MS" w:hAnsi="Arial Unicode MS" w:eastAsia="Arial Unicode MS" w:cs="Arial Unicode MS"/>
        </w:rPr>
        <w:t xml:space="preserve"> + сајт).</w:t>
      </w:r>
    </w:p>
    <w:p w14:paraId="2A7256E8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18" w:name="_9xzs5jx1d7w" w:colFirst="0" w:colLast="0"/>
      <w:bookmarkEnd w:id="18"/>
      <w:r>
        <w:rPr>
          <w:b/>
          <w:bCs/>
          <w:color w:val="000000"/>
          <w:sz w:val="22"/>
          <w:szCs w:val="22"/>
        </w:rPr>
        <w:t>Циљ 5: Интеграција здравствене и туристичке понуде Сокобање</w:t>
      </w:r>
    </w:p>
    <w:p w14:paraId="7F7CC2F1">
      <w:pPr>
        <w:pStyle w:val="3"/>
        <w:numPr>
          <w:ilvl w:val="0"/>
          <w:numId w:val="11"/>
        </w:numPr>
        <w:spacing w:before="240"/>
        <w:jc w:val="both"/>
      </w:pPr>
      <w:r>
        <w:rPr>
          <w:b/>
          <w:bCs/>
        </w:rPr>
        <w:t>Исход:</w:t>
      </w:r>
      <w:r>
        <w:t xml:space="preserve"> Ко-брендирани пакети са локалним актерима, међународна видљивост.</w:t>
      </w:r>
    </w:p>
    <w:p w14:paraId="704F8E62">
      <w:pPr>
        <w:pStyle w:val="3"/>
        <w:numPr>
          <w:ilvl w:val="0"/>
          <w:numId w:val="11"/>
        </w:numPr>
        <w:jc w:val="both"/>
      </w:pPr>
      <w:r>
        <w:rPr>
          <w:b/>
          <w:bCs/>
        </w:rPr>
        <w:t>Циљне вредности:</w:t>
      </w:r>
    </w:p>
    <w:p w14:paraId="3716491A">
      <w:pPr>
        <w:pStyle w:val="3"/>
        <w:numPr>
          <w:ilvl w:val="1"/>
          <w:numId w:val="11"/>
        </w:numPr>
        <w:jc w:val="both"/>
      </w:pPr>
      <w:r>
        <w:t xml:space="preserve">2027: ≥3 заједничка пакета са </w:t>
      </w:r>
      <w:r>
        <w:rPr>
          <w:i/>
        </w:rPr>
        <w:t>TOSB</w:t>
      </w:r>
      <w:r>
        <w:t>/угоститељима.</w:t>
      </w:r>
    </w:p>
    <w:p w14:paraId="6CFF3BE4">
      <w:pPr>
        <w:pStyle w:val="3"/>
        <w:numPr>
          <w:ilvl w:val="1"/>
          <w:numId w:val="11"/>
        </w:numPr>
        <w:spacing w:after="240"/>
        <w:jc w:val="both"/>
      </w:pPr>
      <w:r>
        <w:t xml:space="preserve">2029: ≥2 међународна пројекта/промоције здравственог туризма са учешћем </w:t>
      </w:r>
      <w:r>
        <w:rPr>
          <w:i/>
        </w:rPr>
        <w:t>SB</w:t>
      </w:r>
      <w:r>
        <w:t>.</w:t>
      </w:r>
      <w:bookmarkStart w:id="19" w:name="_r6qcxgsijci5" w:colFirst="0" w:colLast="0"/>
      <w:bookmarkEnd w:id="19"/>
    </w:p>
    <w:p w14:paraId="16A984AE">
      <w:pPr>
        <w:pStyle w:val="3"/>
        <w:spacing w:after="240"/>
        <w:ind w:left="1440"/>
        <w:jc w:val="both"/>
      </w:pPr>
    </w:p>
    <w:p w14:paraId="0053BB97">
      <w:pPr>
        <w:pStyle w:val="3"/>
        <w:spacing w:after="240"/>
        <w:ind w:left="1440"/>
        <w:jc w:val="both"/>
      </w:pPr>
      <w:r>
        <w:rPr>
          <w:b/>
          <w:bCs/>
        </w:rPr>
        <w:t>4. Иницијативе и програми по циљевима (начин остварења)</w:t>
      </w:r>
    </w:p>
    <w:p w14:paraId="2750420F">
      <w:pPr>
        <w:pStyle w:val="3"/>
        <w:jc w:val="both"/>
      </w:pPr>
      <w:r>
        <w:t xml:space="preserve">Реализација циљева заснива се на међусобно повезаним иницијативама које се изводе паралелно и фазно. У области стратешког планирања и управљања успоставља се сегментно рачуноводство комерцијалног П&amp;Л–а (биланс успеха), уводи ценовна политика заснована на сезонским тарифама и правилима минималног боравка, а понуда се стандардизује кроз јасно дефинисане пакете. Пакетна архитектура ослоњена је на клинички утемељене програме (респираторни, пост–ортопедски), корпоративне превентивне програме и </w:t>
      </w:r>
      <w:r>
        <w:rPr>
          <w:i/>
        </w:rPr>
        <w:t>wellness</w:t>
      </w:r>
      <w:r>
        <w:t xml:space="preserve"> боравке, са могућношћу </w:t>
      </w:r>
      <w:r>
        <w:rPr>
          <w:i/>
        </w:rPr>
        <w:t>premium</w:t>
      </w:r>
      <w:r>
        <w:t xml:space="preserve"> доплата у складу са категоријом собе и додатним садржајима. Динамичко управљање ценама (</w:t>
      </w:r>
      <w:r>
        <w:rPr>
          <w:i/>
        </w:rPr>
        <w:t>yield</w:t>
      </w:r>
      <w:r>
        <w:t>) примењује се у функцији заузетости и временског хоризонта резервације, док „</w:t>
      </w:r>
      <w:r>
        <w:rPr>
          <w:i/>
        </w:rPr>
        <w:t>fence</w:t>
      </w:r>
      <w:r>
        <w:t>“ правила спречавају неконтролисане попусте и ерозију просечне цене.</w:t>
      </w:r>
    </w:p>
    <w:p w14:paraId="4D0307C0">
      <w:pPr>
        <w:pStyle w:val="3"/>
        <w:jc w:val="both"/>
      </w:pPr>
    </w:p>
    <w:p w14:paraId="084D31DC">
      <w:pPr>
        <w:pStyle w:val="3"/>
        <w:jc w:val="both"/>
      </w:pPr>
      <w:r>
        <w:t>У домену кадрова, формира се Комерцијално–маркетиншка служба са јасним описима посла, кварталним циљевима и плановима обука (</w:t>
      </w:r>
      <w:r>
        <w:rPr>
          <w:i/>
        </w:rPr>
        <w:t>hospitality</w:t>
      </w:r>
      <w:r>
        <w:t xml:space="preserve"> </w:t>
      </w:r>
      <w:r>
        <w:rPr>
          <w:i/>
        </w:rPr>
        <w:t>sales</w:t>
      </w:r>
      <w:r>
        <w:t xml:space="preserve">, </w:t>
      </w:r>
      <w:r>
        <w:rPr>
          <w:i/>
        </w:rPr>
        <w:t>revenue</w:t>
      </w:r>
      <w:r>
        <w:t xml:space="preserve"> </w:t>
      </w:r>
      <w:r>
        <w:rPr>
          <w:i/>
        </w:rPr>
        <w:t>management</w:t>
      </w:r>
      <w:r>
        <w:t xml:space="preserve">, здравствени туризам, рад са </w:t>
      </w:r>
      <w:r>
        <w:rPr>
          <w:i/>
        </w:rPr>
        <w:t>CRM</w:t>
      </w:r>
      <w:r>
        <w:t xml:space="preserve">–ом). Уводи се </w:t>
      </w:r>
      <w:r>
        <w:rPr>
          <w:i/>
        </w:rPr>
        <w:t>CRM</w:t>
      </w:r>
      <w:r>
        <w:t xml:space="preserve"> платформа која прати пуни животни циклус госта, укључујући генерисање и негу заинтересованих лица, претпродајну комуникацију, боравак и пост–боравишну лојалност. Дигитална компонента обухвата модернизован сајт, интегрисан </w:t>
      </w:r>
      <w:r>
        <w:rPr>
          <w:i/>
        </w:rPr>
        <w:t>booking</w:t>
      </w:r>
      <w:r>
        <w:t xml:space="preserve"> </w:t>
      </w:r>
      <w:r>
        <w:rPr>
          <w:i/>
        </w:rPr>
        <w:t>engine</w:t>
      </w:r>
      <w:r>
        <w:t xml:space="preserve">, </w:t>
      </w:r>
      <w:r>
        <w:rPr>
          <w:i/>
        </w:rPr>
        <w:t>SEO</w:t>
      </w:r>
      <w:r>
        <w:t>/</w:t>
      </w:r>
      <w:r>
        <w:rPr>
          <w:i/>
        </w:rPr>
        <w:t>SEM</w:t>
      </w:r>
      <w:r>
        <w:t xml:space="preserve">, плаћене кампање на друштвеним мрежама, </w:t>
      </w:r>
      <w:r>
        <w:rPr>
          <w:i/>
        </w:rPr>
        <w:t>remarketing</w:t>
      </w:r>
      <w:r>
        <w:t xml:space="preserve"> и аутоматизоване емаил кампање. Б2Б сегмент се развија кроз стандардизоване уговоре са осигуравајућим друштвима, компанијама и агенцијама, уз јасно дефинисане количинске тарифе и годишње евалуације перформанси.</w:t>
      </w:r>
    </w:p>
    <w:p w14:paraId="147E87FC">
      <w:pPr>
        <w:pStyle w:val="3"/>
        <w:jc w:val="both"/>
      </w:pPr>
    </w:p>
    <w:p w14:paraId="553397D3">
      <w:pPr>
        <w:pStyle w:val="3"/>
        <w:jc w:val="both"/>
      </w:pPr>
      <w:r>
        <w:t>Инвестиције обухватају целовиту реконструкцију Старог Завода, модернизацију инхалаторијума и физикалне, те циљане „</w:t>
      </w:r>
      <w:r>
        <w:rPr>
          <w:i/>
        </w:rPr>
        <w:t>soft</w:t>
      </w:r>
      <w:r>
        <w:t xml:space="preserve"> </w:t>
      </w:r>
      <w:r>
        <w:rPr>
          <w:i/>
        </w:rPr>
        <w:t>touch</w:t>
      </w:r>
      <w:r>
        <w:t xml:space="preserve">“ интервенције у </w:t>
      </w:r>
      <w:r>
        <w:rPr>
          <w:i/>
        </w:rPr>
        <w:t>wellness</w:t>
      </w:r>
      <w:r>
        <w:t xml:space="preserve"> зонама и Амаму, са паралелним увођењем програма превентивног одржавања. Синергија са Туристичком организацијом Сокобања и локалним хотелијерима подиже тржишну видљивост и омогућава ко–брендиране пакете и заједничке кампање, укључујући присуство на међународним сајмовима здравственог туризма.</w:t>
      </w:r>
    </w:p>
    <w:p w14:paraId="37546C38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20" w:name="_oxk91m3c1drm" w:colFirst="0" w:colLast="0"/>
      <w:bookmarkEnd w:id="20"/>
      <w:r>
        <w:rPr>
          <w:b/>
          <w:bCs/>
          <w:color w:val="000000"/>
          <w:sz w:val="22"/>
          <w:szCs w:val="22"/>
        </w:rPr>
        <w:t>4.1. Стратешко планирање и управљање (Циљеви 2–3)</w:t>
      </w:r>
    </w:p>
    <w:p w14:paraId="3CC86FC5">
      <w:pPr>
        <w:pStyle w:val="3"/>
        <w:numPr>
          <w:ilvl w:val="0"/>
          <w:numId w:val="12"/>
        </w:numPr>
        <w:spacing w:before="240"/>
        <w:jc w:val="both"/>
      </w:pPr>
      <w:r>
        <w:t>Успоставити посебну линију комерцијалног П&amp;Л-а (сегментно рачуноводство) ради јасног праћења профитабилности.</w:t>
      </w:r>
    </w:p>
    <w:p w14:paraId="7074A0B8">
      <w:pPr>
        <w:pStyle w:val="3"/>
        <w:numPr>
          <w:ilvl w:val="0"/>
          <w:numId w:val="12"/>
        </w:numPr>
        <w:jc w:val="both"/>
      </w:pPr>
      <w:r>
        <w:rPr>
          <w:b/>
          <w:bCs/>
        </w:rPr>
        <w:t>Ценовник по сезони:</w:t>
      </w:r>
    </w:p>
    <w:p w14:paraId="4546AFF9">
      <w:pPr>
        <w:pStyle w:val="3"/>
        <w:numPr>
          <w:ilvl w:val="1"/>
          <w:numId w:val="12"/>
        </w:numPr>
        <w:jc w:val="both"/>
      </w:pPr>
      <w:r>
        <w:t>Главна сезона: април–септембар;</w:t>
      </w:r>
    </w:p>
    <w:p w14:paraId="43D9CA7C">
      <w:pPr>
        <w:pStyle w:val="3"/>
        <w:numPr>
          <w:ilvl w:val="1"/>
          <w:numId w:val="12"/>
        </w:numPr>
        <w:jc w:val="both"/>
      </w:pPr>
      <w:r>
        <w:t>Ниска сезона: октобар–март (уз зимске промотивне програме).</w:t>
      </w:r>
    </w:p>
    <w:p w14:paraId="1539C786">
      <w:pPr>
        <w:pStyle w:val="3"/>
        <w:numPr>
          <w:ilvl w:val="0"/>
          <w:numId w:val="12"/>
        </w:numPr>
        <w:jc w:val="both"/>
      </w:pPr>
      <w:r>
        <w:rPr>
          <w:b/>
          <w:bCs/>
        </w:rPr>
        <w:t>Пакетизација</w:t>
      </w:r>
      <w:r>
        <w:t>:</w:t>
      </w:r>
    </w:p>
    <w:p w14:paraId="64A8164D">
      <w:pPr>
        <w:pStyle w:val="3"/>
        <w:numPr>
          <w:ilvl w:val="1"/>
          <w:numId w:val="12"/>
        </w:numPr>
        <w:jc w:val="both"/>
      </w:pPr>
      <w:r>
        <w:rPr>
          <w:b/>
          <w:bCs/>
        </w:rPr>
        <w:t>Респираторна рехабилитација</w:t>
      </w:r>
      <w:r>
        <w:t xml:space="preserve"> (7/10/14 дана; инхалације + физикална + консултације),</w:t>
      </w:r>
    </w:p>
    <w:p w14:paraId="1F6C71C6">
      <w:pPr>
        <w:pStyle w:val="3"/>
        <w:numPr>
          <w:ilvl w:val="1"/>
          <w:numId w:val="12"/>
        </w:numPr>
        <w:jc w:val="both"/>
      </w:pPr>
      <w:r>
        <w:rPr>
          <w:b/>
          <w:bCs/>
        </w:rPr>
        <w:t>Пост-ортопедска рехабилитација</w:t>
      </w:r>
      <w:r>
        <w:t xml:space="preserve"> (кук/колено/рамена; кинезитерапија + физикална + надзор),</w:t>
      </w:r>
    </w:p>
    <w:p w14:paraId="1E557EB1">
      <w:pPr>
        <w:pStyle w:val="3"/>
        <w:numPr>
          <w:ilvl w:val="1"/>
          <w:numId w:val="12"/>
        </w:numPr>
        <w:jc w:val="both"/>
      </w:pPr>
      <w:r>
        <w:rPr>
          <w:b/>
          <w:bCs/>
        </w:rPr>
        <w:t>Корпоративни програми</w:t>
      </w:r>
      <w:r>
        <w:t xml:space="preserve"> (превенција + антистрес + физикална + контролни прегледи),</w:t>
      </w:r>
    </w:p>
    <w:p w14:paraId="50EA03E6">
      <w:pPr>
        <w:pStyle w:val="3"/>
        <w:numPr>
          <w:ilvl w:val="1"/>
          <w:numId w:val="12"/>
        </w:numPr>
        <w:jc w:val="both"/>
      </w:pPr>
      <w:r>
        <w:rPr>
          <w:b/>
          <w:bCs/>
          <w:i/>
        </w:rPr>
        <w:t>Wellness</w:t>
      </w:r>
      <w:r>
        <w:rPr>
          <w:b/>
          <w:bCs/>
        </w:rPr>
        <w:t xml:space="preserve"> викенди</w:t>
      </w:r>
      <w:r>
        <w:t xml:space="preserve"> („Амам + базени + стазе здравља“).</w:t>
      </w:r>
    </w:p>
    <w:p w14:paraId="3CA45FDA">
      <w:pPr>
        <w:pStyle w:val="3"/>
        <w:numPr>
          <w:ilvl w:val="0"/>
          <w:numId w:val="12"/>
        </w:numPr>
        <w:spacing w:after="240"/>
        <w:jc w:val="both"/>
      </w:pPr>
      <w:r>
        <w:rPr>
          <w:b/>
          <w:bCs/>
          <w:i/>
        </w:rPr>
        <w:t>Revenue</w:t>
      </w:r>
      <w:r>
        <w:rPr>
          <w:b/>
          <w:bCs/>
        </w:rPr>
        <w:t xml:space="preserve"> </w:t>
      </w:r>
      <w:r>
        <w:rPr>
          <w:b/>
          <w:bCs/>
          <w:i/>
        </w:rPr>
        <w:t>management</w:t>
      </w:r>
      <w:r>
        <w:t>: динамичко одређивање цена по заузетости и термину; минималне дужине боравка према сезони; „</w:t>
      </w:r>
      <w:r>
        <w:rPr>
          <w:i/>
        </w:rPr>
        <w:t>premium</w:t>
      </w:r>
      <w:r>
        <w:t>“ доплате.</w:t>
      </w:r>
      <w:r>
        <w:br w:type="textWrapping"/>
      </w:r>
    </w:p>
    <w:p w14:paraId="08FE0B1C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21" w:name="_155ezzjnzp1v" w:colFirst="0" w:colLast="0"/>
      <w:bookmarkEnd w:id="21"/>
      <w:r>
        <w:rPr>
          <w:b/>
          <w:bCs/>
          <w:color w:val="000000"/>
          <w:sz w:val="22"/>
          <w:szCs w:val="22"/>
        </w:rPr>
        <w:t xml:space="preserve">4.2. Обучени кадар за </w:t>
      </w:r>
      <w:r>
        <w:rPr>
          <w:b/>
          <w:bCs/>
          <w:i/>
          <w:color w:val="000000"/>
          <w:sz w:val="22"/>
          <w:szCs w:val="22"/>
        </w:rPr>
        <w:t>marketing</w:t>
      </w:r>
      <w:r>
        <w:rPr>
          <w:b/>
          <w:bCs/>
          <w:color w:val="000000"/>
          <w:sz w:val="22"/>
          <w:szCs w:val="22"/>
        </w:rPr>
        <w:t xml:space="preserve"> и продају (Циљеви 3–4)</w:t>
      </w:r>
    </w:p>
    <w:p w14:paraId="14FCEDA4">
      <w:pPr>
        <w:pStyle w:val="3"/>
        <w:numPr>
          <w:ilvl w:val="0"/>
          <w:numId w:val="13"/>
        </w:numPr>
        <w:spacing w:before="240"/>
        <w:jc w:val="both"/>
      </w:pPr>
      <w:r>
        <w:t>Формирати Комерцијално–маркетиншку службу са јасним описима посла и циљевима:</w:t>
      </w:r>
    </w:p>
    <w:p w14:paraId="46357675">
      <w:pPr>
        <w:pStyle w:val="3"/>
        <w:numPr>
          <w:ilvl w:val="1"/>
          <w:numId w:val="13"/>
        </w:numPr>
        <w:jc w:val="both"/>
      </w:pPr>
      <w:r>
        <w:rPr>
          <w:b/>
          <w:bCs/>
        </w:rPr>
        <w:t xml:space="preserve">Менаџер продаје и маркетинга (Б2Ц &amp; Б2Б) – Одговорности: </w:t>
      </w:r>
      <w:r>
        <w:t>стратегија, буџети, ценовна политика, кључни уговори.</w:t>
      </w:r>
    </w:p>
    <w:p w14:paraId="0C0E4418">
      <w:pPr>
        <w:pStyle w:val="3"/>
        <w:numPr>
          <w:ilvl w:val="1"/>
          <w:numId w:val="13"/>
        </w:numPr>
        <w:jc w:val="both"/>
      </w:pPr>
      <w:r>
        <w:rPr>
          <w:b/>
          <w:bCs/>
        </w:rPr>
        <w:t>Дигитал/</w:t>
      </w:r>
      <w:r>
        <w:rPr>
          <w:b/>
          <w:bCs/>
          <w:i/>
        </w:rPr>
        <w:t>Booking</w:t>
      </w:r>
      <w:r>
        <w:rPr>
          <w:b/>
          <w:bCs/>
        </w:rPr>
        <w:t xml:space="preserve"> специјалиста – Одговорности: </w:t>
      </w:r>
      <w:r>
        <w:t xml:space="preserve">сајт, </w:t>
      </w:r>
      <w:r>
        <w:rPr>
          <w:i/>
        </w:rPr>
        <w:t>booking</w:t>
      </w:r>
      <w:r>
        <w:t xml:space="preserve"> </w:t>
      </w:r>
      <w:r>
        <w:rPr>
          <w:i/>
        </w:rPr>
        <w:t>engine</w:t>
      </w:r>
      <w:r>
        <w:t xml:space="preserve">, </w:t>
      </w:r>
      <w:r>
        <w:rPr>
          <w:i/>
        </w:rPr>
        <w:t>SEO</w:t>
      </w:r>
      <w:r>
        <w:t>/</w:t>
      </w:r>
      <w:r>
        <w:rPr>
          <w:i/>
        </w:rPr>
        <w:t>SEM</w:t>
      </w:r>
      <w:r>
        <w:t xml:space="preserve">, </w:t>
      </w:r>
      <w:r>
        <w:rPr>
          <w:i/>
        </w:rPr>
        <w:t>performance</w:t>
      </w:r>
      <w:r>
        <w:t xml:space="preserve"> </w:t>
      </w:r>
      <w:r>
        <w:rPr>
          <w:i/>
        </w:rPr>
        <w:t>marketing</w:t>
      </w:r>
      <w:r>
        <w:t xml:space="preserve">, </w:t>
      </w:r>
      <w:r>
        <w:rPr>
          <w:i/>
        </w:rPr>
        <w:t>remarketing</w:t>
      </w:r>
      <w:r>
        <w:t xml:space="preserve">, </w:t>
      </w:r>
      <w:r>
        <w:rPr>
          <w:i/>
        </w:rPr>
        <w:t>CRM</w:t>
      </w:r>
      <w:r>
        <w:t xml:space="preserve"> аутоматизације.</w:t>
      </w:r>
    </w:p>
    <w:p w14:paraId="1A56FB2D">
      <w:pPr>
        <w:pStyle w:val="3"/>
        <w:numPr>
          <w:ilvl w:val="1"/>
          <w:numId w:val="13"/>
        </w:numPr>
        <w:jc w:val="both"/>
      </w:pPr>
      <w:r>
        <w:rPr>
          <w:b/>
          <w:bCs/>
        </w:rPr>
        <w:t xml:space="preserve">Б2Б координатор – Одговорности: </w:t>
      </w:r>
      <w:r>
        <w:t>агенције, корпоративни клијенти, осигурања; тендери и оквирни споразуми.</w:t>
      </w:r>
    </w:p>
    <w:p w14:paraId="15EEB881">
      <w:pPr>
        <w:pStyle w:val="3"/>
        <w:numPr>
          <w:ilvl w:val="0"/>
          <w:numId w:val="13"/>
        </w:numPr>
        <w:jc w:val="both"/>
      </w:pPr>
      <w:r>
        <w:t xml:space="preserve">Обуке: </w:t>
      </w:r>
      <w:r>
        <w:rPr>
          <w:i/>
        </w:rPr>
        <w:t>hospitality</w:t>
      </w:r>
      <w:r>
        <w:t xml:space="preserve"> </w:t>
      </w:r>
      <w:r>
        <w:rPr>
          <w:i/>
        </w:rPr>
        <w:t>sales</w:t>
      </w:r>
      <w:r>
        <w:t xml:space="preserve">, </w:t>
      </w:r>
      <w:r>
        <w:rPr>
          <w:i/>
        </w:rPr>
        <w:t>revenue</w:t>
      </w:r>
      <w:r>
        <w:t xml:space="preserve"> </w:t>
      </w:r>
      <w:r>
        <w:rPr>
          <w:i/>
        </w:rPr>
        <w:t>management</w:t>
      </w:r>
      <w:r>
        <w:t xml:space="preserve">, здравствени туризам, рад са </w:t>
      </w:r>
      <w:r>
        <w:rPr>
          <w:i/>
        </w:rPr>
        <w:t>CRM</w:t>
      </w:r>
      <w:r>
        <w:t>-ом.</w:t>
      </w:r>
    </w:p>
    <w:p w14:paraId="0228E776">
      <w:pPr>
        <w:pStyle w:val="3"/>
        <w:numPr>
          <w:ilvl w:val="0"/>
          <w:numId w:val="13"/>
        </w:numPr>
        <w:spacing w:after="240"/>
        <w:jc w:val="both"/>
      </w:pPr>
      <w:r>
        <w:t xml:space="preserve">Увођење </w:t>
      </w:r>
      <w:r>
        <w:rPr>
          <w:i/>
        </w:rPr>
        <w:t>CRM</w:t>
      </w:r>
      <w:r>
        <w:t xml:space="preserve"> система за упите, госте, уговоре и кампање (сегментација, аутоматизације, </w:t>
      </w:r>
      <w:r>
        <w:rPr>
          <w:i/>
        </w:rPr>
        <w:t>NPS</w:t>
      </w:r>
      <w:r>
        <w:t>).</w:t>
      </w:r>
      <w:r>
        <w:br w:type="textWrapping"/>
      </w:r>
    </w:p>
    <w:p w14:paraId="76444EFD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22" w:name="_n5al7usj2d7n" w:colFirst="0" w:colLast="0"/>
      <w:bookmarkEnd w:id="22"/>
      <w:r>
        <w:rPr>
          <w:b/>
          <w:bCs/>
          <w:color w:val="000000"/>
          <w:sz w:val="22"/>
          <w:szCs w:val="22"/>
        </w:rPr>
        <w:t>4.3. Реконструкција и модернизација објеката (Циљеви 1–2)</w:t>
      </w:r>
    </w:p>
    <w:p w14:paraId="359737CC">
      <w:pPr>
        <w:pStyle w:val="3"/>
        <w:numPr>
          <w:ilvl w:val="0"/>
          <w:numId w:val="14"/>
        </w:numPr>
        <w:spacing w:before="240"/>
        <w:jc w:val="both"/>
      </w:pPr>
      <w:r>
        <w:rPr>
          <w:b/>
          <w:bCs/>
        </w:rPr>
        <w:t>Стари Завод (Сокоград)</w:t>
      </w:r>
      <w:r>
        <w:t xml:space="preserve"> – приоритетна реконструкција (инсталације, изолација, купатила, намештај, </w:t>
      </w:r>
      <w:r>
        <w:rPr>
          <w:i/>
        </w:rPr>
        <w:t>IT</w:t>
      </w:r>
      <w:r>
        <w:t>/</w:t>
      </w:r>
      <w:r>
        <w:rPr>
          <w:i/>
        </w:rPr>
        <w:t>TV</w:t>
      </w:r>
      <w:r>
        <w:t>, сигнализација).</w:t>
      </w:r>
    </w:p>
    <w:p w14:paraId="05446FA5">
      <w:pPr>
        <w:pStyle w:val="3"/>
        <w:numPr>
          <w:ilvl w:val="0"/>
          <w:numId w:val="14"/>
        </w:numPr>
        <w:jc w:val="both"/>
      </w:pPr>
      <w:r>
        <w:rPr>
          <w:b/>
          <w:bCs/>
          <w:i/>
        </w:rPr>
        <w:t>Standard</w:t>
      </w:r>
      <w:r>
        <w:rPr>
          <w:b/>
          <w:bCs/>
        </w:rPr>
        <w:t>/</w:t>
      </w:r>
      <w:r>
        <w:rPr>
          <w:b/>
          <w:bCs/>
          <w:i/>
        </w:rPr>
        <w:t>premium</w:t>
      </w:r>
      <w:r>
        <w:rPr>
          <w:b/>
          <w:bCs/>
        </w:rPr>
        <w:t xml:space="preserve"> собе</w:t>
      </w:r>
      <w:r>
        <w:t xml:space="preserve"> – диференцијација опреме и услуга; „</w:t>
      </w:r>
      <w:r>
        <w:rPr>
          <w:i/>
        </w:rPr>
        <w:t>premium</w:t>
      </w:r>
      <w:r>
        <w:t xml:space="preserve">“ са додатним погодностима (нпр. поглед, клима, мини </w:t>
      </w:r>
      <w:r>
        <w:rPr>
          <w:i/>
        </w:rPr>
        <w:t>wellness</w:t>
      </w:r>
      <w:r>
        <w:t xml:space="preserve"> погодности).</w:t>
      </w:r>
    </w:p>
    <w:p w14:paraId="2D7BBAF3">
      <w:pPr>
        <w:pStyle w:val="3"/>
        <w:numPr>
          <w:ilvl w:val="0"/>
          <w:numId w:val="14"/>
        </w:numPr>
        <w:jc w:val="both"/>
      </w:pPr>
      <w:r>
        <w:rPr>
          <w:b/>
          <w:bCs/>
        </w:rPr>
        <w:t>Инхалаторијум и физикална</w:t>
      </w:r>
      <w:r>
        <w:t xml:space="preserve"> – модернизација апарата; оптимизација токова пацијената; дигитални распореди.</w:t>
      </w:r>
    </w:p>
    <w:p w14:paraId="7EBFC3FB">
      <w:pPr>
        <w:pStyle w:val="3"/>
        <w:numPr>
          <w:ilvl w:val="0"/>
          <w:numId w:val="14"/>
        </w:numPr>
        <w:spacing w:after="240"/>
        <w:jc w:val="both"/>
      </w:pPr>
      <w:r>
        <w:rPr>
          <w:b/>
          <w:bCs/>
          <w:i/>
        </w:rPr>
        <w:t>Wellness</w:t>
      </w:r>
      <w:r>
        <w:rPr>
          <w:b/>
          <w:bCs/>
        </w:rPr>
        <w:t>/Амам</w:t>
      </w:r>
      <w:r>
        <w:t xml:space="preserve"> – „</w:t>
      </w:r>
      <w:r>
        <w:rPr>
          <w:i/>
        </w:rPr>
        <w:t>soft</w:t>
      </w:r>
      <w:r>
        <w:t xml:space="preserve"> </w:t>
      </w:r>
      <w:r>
        <w:rPr>
          <w:i/>
        </w:rPr>
        <w:t>touch</w:t>
      </w:r>
      <w:r>
        <w:t>“ унапређења (расвета, гардеробе, дигитални инфо дисплеји) и посебно брендирање у оквиру пакета.</w:t>
      </w:r>
      <w:r>
        <w:br w:type="textWrapping"/>
      </w:r>
    </w:p>
    <w:p w14:paraId="1DCE6DDF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23" w:name="_pi8xz0ht186a" w:colFirst="0" w:colLast="0"/>
      <w:bookmarkEnd w:id="23"/>
      <w:r>
        <w:rPr>
          <w:b/>
          <w:bCs/>
          <w:color w:val="000000"/>
          <w:sz w:val="22"/>
          <w:szCs w:val="22"/>
        </w:rPr>
        <w:t>4.4. Препознавање и интеграција туристичке понуде (Циљеви 4–5)</w:t>
      </w:r>
    </w:p>
    <w:p w14:paraId="1359B6E4">
      <w:pPr>
        <w:pStyle w:val="3"/>
        <w:numPr>
          <w:ilvl w:val="0"/>
          <w:numId w:val="15"/>
        </w:numPr>
        <w:spacing w:before="240"/>
        <w:jc w:val="both"/>
      </w:pPr>
      <w:r>
        <w:rPr>
          <w:b/>
          <w:bCs/>
        </w:rPr>
        <w:t xml:space="preserve">Партнерства са </w:t>
      </w:r>
      <w:r>
        <w:rPr>
          <w:b/>
          <w:bCs/>
          <w:i/>
        </w:rPr>
        <w:t>TO</w:t>
      </w:r>
      <w:r>
        <w:rPr>
          <w:b/>
          <w:bCs/>
        </w:rPr>
        <w:t xml:space="preserve"> Сокобања и хотелијерима</w:t>
      </w:r>
      <w:r>
        <w:t xml:space="preserve"> – заједнички календар кампања, ко-брендирани пакети („бањски викенд“, „дисање &amp; </w:t>
      </w:r>
      <w:r>
        <w:rPr>
          <w:i/>
        </w:rPr>
        <w:t>wellness</w:t>
      </w:r>
      <w:r>
        <w:t>“).</w:t>
      </w:r>
    </w:p>
    <w:p w14:paraId="73CA091D">
      <w:pPr>
        <w:pStyle w:val="3"/>
        <w:numPr>
          <w:ilvl w:val="0"/>
          <w:numId w:val="15"/>
        </w:numPr>
        <w:jc w:val="both"/>
      </w:pPr>
      <w:r>
        <w:rPr>
          <w:b/>
          <w:bCs/>
        </w:rPr>
        <w:t>Међународна промоција</w:t>
      </w:r>
      <w:r>
        <w:t xml:space="preserve"> – сајмови, Б2Б </w:t>
      </w:r>
      <w:r>
        <w:rPr>
          <w:i/>
        </w:rPr>
        <w:t>workshop</w:t>
      </w:r>
      <w:r>
        <w:t>-ови, материјали на 7+ језика; таргетирање тржишта региона и дијаспоре.</w:t>
      </w:r>
    </w:p>
    <w:p w14:paraId="28CC97E5">
      <w:pPr>
        <w:pStyle w:val="3"/>
        <w:numPr>
          <w:ilvl w:val="0"/>
          <w:numId w:val="15"/>
        </w:numPr>
        <w:spacing w:after="240"/>
        <w:jc w:val="both"/>
      </w:pPr>
      <w:r>
        <w:rPr>
          <w:b/>
          <w:bCs/>
          <w:i/>
        </w:rPr>
        <w:t>Storytelling</w:t>
      </w:r>
      <w:r>
        <w:rPr>
          <w:b/>
          <w:bCs/>
        </w:rPr>
        <w:t xml:space="preserve"> кампање</w:t>
      </w:r>
      <w:r>
        <w:t xml:space="preserve"> – традиција бање, природни фактори, „респираторни цапитал“ Сокобање, безбедност и приступачност.</w:t>
      </w:r>
      <w:r>
        <w:br w:type="textWrapping"/>
      </w:r>
    </w:p>
    <w:p w14:paraId="4BEBF77E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24" w:name="_igmn9t7ezwx4" w:colFirst="0" w:colLast="0"/>
      <w:bookmarkEnd w:id="24"/>
      <w:bookmarkStart w:id="25" w:name="_j6v0yn89cal9" w:colFirst="0" w:colLast="0"/>
      <w:bookmarkEnd w:id="25"/>
      <w:r>
        <w:rPr>
          <w:b/>
          <w:bCs/>
        </w:rPr>
        <w:t>5. Оперативни план (2026–2029)</w:t>
      </w:r>
    </w:p>
    <w:p w14:paraId="36828BAB">
      <w:pPr>
        <w:pStyle w:val="3"/>
        <w:jc w:val="both"/>
      </w:pPr>
      <w:r>
        <w:t xml:space="preserve">Оперативни план постепено води од консолидације ка расту и стабилизацији. Током 2026. године успостављају се темељи: формира се тим, уводи </w:t>
      </w:r>
      <w:r>
        <w:rPr>
          <w:i/>
        </w:rPr>
        <w:t>booking</w:t>
      </w:r>
      <w:r>
        <w:t xml:space="preserve"> </w:t>
      </w:r>
      <w:r>
        <w:rPr>
          <w:i/>
        </w:rPr>
        <w:t>engine</w:t>
      </w:r>
      <w:r>
        <w:t xml:space="preserve"> и </w:t>
      </w:r>
      <w:r>
        <w:rPr>
          <w:i/>
        </w:rPr>
        <w:t>CRM</w:t>
      </w:r>
      <w:r>
        <w:t>, стандардизују се пакети, поставља комерцијални П&amp;Л и започињу приоритетни реконструкциони радови. Паралелно се уводи сезонска ценовна политика и реализују фокусиране кампање на домаћем и регионалном тржишту, са циљем да попуњеност достигне најмање 60%.</w:t>
      </w:r>
    </w:p>
    <w:p w14:paraId="4934F25E">
      <w:pPr>
        <w:pStyle w:val="3"/>
        <w:jc w:val="both"/>
      </w:pPr>
    </w:p>
    <w:p w14:paraId="0F42D26C">
      <w:pPr>
        <w:pStyle w:val="3"/>
        <w:jc w:val="both"/>
      </w:pPr>
      <w:r>
        <w:t xml:space="preserve">У 2027. години, по завршетку радова на Старом Заводу и пуној оперативности свих 110 постеља, интензивира се продаја: шири се Б2Б портфељ, уводе </w:t>
      </w:r>
      <w:r>
        <w:rPr>
          <w:i/>
        </w:rPr>
        <w:t>premium</w:t>
      </w:r>
      <w:r>
        <w:t xml:space="preserve"> собе и унапређени пакети, појачава међународни </w:t>
      </w:r>
      <w:r>
        <w:rPr>
          <w:i/>
        </w:rPr>
        <w:t>marketing</w:t>
      </w:r>
      <w:r>
        <w:t xml:space="preserve"> и уводи редован квартални „прицинг </w:t>
      </w:r>
      <w:r>
        <w:rPr>
          <w:i/>
        </w:rPr>
        <w:t>review</w:t>
      </w:r>
      <w:r>
        <w:t>“ (ревизија цена). Очекивани исход је најмање 70% попуњености и снажнији допринос комерцијалног сегмента укупним приходима.</w:t>
      </w:r>
    </w:p>
    <w:p w14:paraId="118F3DA6">
      <w:pPr>
        <w:pStyle w:val="3"/>
        <w:jc w:val="both"/>
      </w:pPr>
    </w:p>
    <w:p w14:paraId="3F3CB690">
      <w:pPr>
        <w:pStyle w:val="3"/>
        <w:jc w:val="both"/>
      </w:pPr>
      <w:r>
        <w:t xml:space="preserve">Година 2028. усмерена је на скалирање и диференцијацију: завршавају се преостале реконструкције у Новом Заводу и Амаму, модернизују терапијски капацитети, уводи лојалти програм, а </w:t>
      </w:r>
      <w:r>
        <w:rPr>
          <w:i/>
        </w:rPr>
        <w:t>CRM</w:t>
      </w:r>
      <w:r>
        <w:t xml:space="preserve"> аутоматизације унапређују задржавање гостију и продају додатних услуга. Продајни микс се преусмерава ка дужим боравцима и пакетима веће додате вредности, уз циљ од најмање 75% попуњености и континуиран раст прихода по </w:t>
      </w:r>
      <w:r>
        <w:rPr>
          <w:i/>
        </w:rPr>
        <w:t>BO</w:t>
      </w:r>
      <w:r>
        <w:t>–дану.</w:t>
      </w:r>
    </w:p>
    <w:p w14:paraId="17348111">
      <w:pPr>
        <w:pStyle w:val="3"/>
        <w:jc w:val="both"/>
      </w:pPr>
    </w:p>
    <w:p w14:paraId="544818FB">
      <w:pPr>
        <w:pStyle w:val="3"/>
        <w:jc w:val="both"/>
      </w:pPr>
      <w:r>
        <w:t xml:space="preserve">У 2029. години модел је консолидован: уводи се режим превентивног одржавања, одржава целогодишње пословање без затварања, јача међународно присуство кроз најмање два велика пројекта здравственог туризма и достиже циљна попуњеност од 80%, уз стабилан годишњи раст </w:t>
      </w:r>
      <w:r>
        <w:rPr>
          <w:i/>
        </w:rPr>
        <w:t>RevPBD</w:t>
      </w:r>
      <w:r>
        <w:t xml:space="preserve"> од 10–12%. Све време спроводи се континуирани мониторинг </w:t>
      </w:r>
      <w:r>
        <w:rPr>
          <w:i/>
        </w:rPr>
        <w:t>KPI</w:t>
      </w:r>
      <w:r>
        <w:t xml:space="preserve">–ева, квартално извештавање о инвестицијама и ценама, полугодишње евалуације </w:t>
      </w:r>
      <w:r>
        <w:rPr>
          <w:i/>
        </w:rPr>
        <w:t>HR</w:t>
      </w:r>
      <w:r>
        <w:t xml:space="preserve"> и маркетинга и годишња ревизија плана у складу са резултатима и кретањима на тржишту.</w:t>
      </w:r>
    </w:p>
    <w:p w14:paraId="6CF32AAD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26" w:name="_yo0mric5ym16" w:colFirst="0" w:colLast="0"/>
      <w:bookmarkEnd w:id="26"/>
      <w:r>
        <w:rPr>
          <w:b/>
          <w:bCs/>
          <w:color w:val="000000"/>
          <w:sz w:val="22"/>
          <w:szCs w:val="22"/>
        </w:rPr>
        <w:t>5.1. Година 2026 (консолидација и старт раста)</w:t>
      </w:r>
    </w:p>
    <w:p w14:paraId="47B9125A">
      <w:pPr>
        <w:pStyle w:val="3"/>
        <w:numPr>
          <w:ilvl w:val="0"/>
          <w:numId w:val="16"/>
        </w:numPr>
        <w:spacing w:before="240"/>
        <w:jc w:val="both"/>
      </w:pPr>
      <w:r>
        <w:rPr>
          <w:b/>
          <w:bCs/>
        </w:rPr>
        <w:t>Капацитети/објекти:</w:t>
      </w:r>
      <w:r>
        <w:t xml:space="preserve"> уговорено финансирање; започета реконструкција критичних соба у Старом Заводу; план одржавања за зиму (без затварања).</w:t>
      </w:r>
    </w:p>
    <w:p w14:paraId="2201E8EE">
      <w:pPr>
        <w:pStyle w:val="3"/>
        <w:numPr>
          <w:ilvl w:val="0"/>
          <w:numId w:val="16"/>
        </w:numPr>
        <w:jc w:val="both"/>
      </w:pPr>
      <w:r>
        <w:rPr>
          <w:b/>
          <w:bCs/>
        </w:rPr>
        <w:t>Продаја/</w:t>
      </w:r>
      <w:r>
        <w:rPr>
          <w:b/>
          <w:bCs/>
          <w:i/>
        </w:rPr>
        <w:t>marketing</w:t>
      </w:r>
      <w:r>
        <w:rPr>
          <w:b/>
          <w:bCs/>
        </w:rPr>
        <w:t>:</w:t>
      </w:r>
      <w:r>
        <w:t xml:space="preserve"> формиран тим (3); пуштен </w:t>
      </w:r>
      <w:r>
        <w:rPr>
          <w:i/>
        </w:rPr>
        <w:t>booking</w:t>
      </w:r>
      <w:r>
        <w:t xml:space="preserve"> </w:t>
      </w:r>
      <w:r>
        <w:rPr>
          <w:i/>
        </w:rPr>
        <w:t>engine</w:t>
      </w:r>
      <w:r>
        <w:t xml:space="preserve">; лансирана 3 основна пакета; покренуте </w:t>
      </w:r>
      <w:r>
        <w:rPr>
          <w:i/>
        </w:rPr>
        <w:t>performance</w:t>
      </w:r>
      <w:r>
        <w:t xml:space="preserve"> кампање (сеарцх/социал).</w:t>
      </w:r>
    </w:p>
    <w:p w14:paraId="3E51AAF5">
      <w:pPr>
        <w:pStyle w:val="3"/>
        <w:numPr>
          <w:ilvl w:val="0"/>
          <w:numId w:val="16"/>
        </w:numPr>
        <w:jc w:val="both"/>
      </w:pPr>
      <w:r>
        <w:rPr>
          <w:b/>
          <w:bCs/>
        </w:rPr>
        <w:t>Процеси:</w:t>
      </w:r>
      <w:r>
        <w:t xml:space="preserve"> успостављен комерцијални П&amp;Л, </w:t>
      </w:r>
      <w:r>
        <w:rPr>
          <w:i/>
        </w:rPr>
        <w:t>CRM</w:t>
      </w:r>
      <w:r>
        <w:t xml:space="preserve"> у продукцији, дефинисан ценовни растер и правила попуста.</w:t>
      </w:r>
    </w:p>
    <w:p w14:paraId="5E185131">
      <w:pPr>
        <w:pStyle w:val="3"/>
        <w:numPr>
          <w:ilvl w:val="0"/>
          <w:numId w:val="16"/>
        </w:numPr>
        <w:spacing w:after="240"/>
        <w:jc w:val="both"/>
      </w:pPr>
      <w:r>
        <w:rPr>
          <w:b/>
          <w:bCs/>
          <w:i/>
        </w:rPr>
        <w:t>KPI</w:t>
      </w:r>
      <w:r>
        <w:rPr>
          <w:b/>
          <w:bCs/>
        </w:rPr>
        <w:t xml:space="preserve"> (крајњи циљ 2026):</w:t>
      </w:r>
      <w:r>
        <w:t xml:space="preserve"> </w:t>
      </w:r>
      <w:r>
        <w:rPr>
          <w:i/>
        </w:rPr>
        <w:t>OCC</w:t>
      </w:r>
      <w:r>
        <w:t xml:space="preserve"> ≥60%; ~22.000 </w:t>
      </w:r>
      <w:r>
        <w:rPr>
          <w:i/>
        </w:rPr>
        <w:t>BO</w:t>
      </w:r>
      <w:r>
        <w:t>-дана; тржишни приход ≥32%; удео директних резервација ≥25%.</w:t>
      </w:r>
      <w:r>
        <w:br w:type="textWrapping"/>
      </w:r>
    </w:p>
    <w:p w14:paraId="65EFBCFC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27" w:name="_3tpxccn5c5wp" w:colFirst="0" w:colLast="0"/>
      <w:bookmarkEnd w:id="27"/>
      <w:r>
        <w:rPr>
          <w:b/>
          <w:bCs/>
          <w:color w:val="000000"/>
          <w:sz w:val="22"/>
          <w:szCs w:val="22"/>
        </w:rPr>
        <w:t>5.2. Година 2027 (пробој и монетизација)</w:t>
      </w:r>
    </w:p>
    <w:p w14:paraId="3931F6E0">
      <w:pPr>
        <w:pStyle w:val="3"/>
        <w:numPr>
          <w:ilvl w:val="0"/>
          <w:numId w:val="17"/>
        </w:numPr>
        <w:spacing w:before="240"/>
        <w:jc w:val="both"/>
      </w:pPr>
      <w:r>
        <w:rPr>
          <w:b/>
          <w:bCs/>
        </w:rPr>
        <w:t>Капацитети/објекти:</w:t>
      </w:r>
      <w:r>
        <w:t xml:space="preserve"> завршен Стари Завод; 110 постеља у пуној функцији; уведене „</w:t>
      </w:r>
      <w:r>
        <w:rPr>
          <w:i/>
        </w:rPr>
        <w:t>premium</w:t>
      </w:r>
      <w:r>
        <w:t>“ собе; модернизован део инхалаторијума/физикалне.</w:t>
      </w:r>
    </w:p>
    <w:p w14:paraId="4CD8B55C">
      <w:pPr>
        <w:pStyle w:val="3"/>
        <w:numPr>
          <w:ilvl w:val="0"/>
          <w:numId w:val="17"/>
        </w:numPr>
        <w:jc w:val="both"/>
      </w:pPr>
      <w:r>
        <w:rPr>
          <w:b/>
          <w:bCs/>
        </w:rPr>
        <w:t>Продаја/</w:t>
      </w:r>
      <w:r>
        <w:rPr>
          <w:b/>
          <w:bCs/>
          <w:i/>
        </w:rPr>
        <w:t>marketing</w:t>
      </w:r>
      <w:r>
        <w:rPr>
          <w:b/>
          <w:bCs/>
        </w:rPr>
        <w:t>:</w:t>
      </w:r>
      <w:r>
        <w:t xml:space="preserve"> ≥10 Б2Б уговора; ширење пакета (пост-ортопедски, корпоративни, </w:t>
      </w:r>
      <w:r>
        <w:rPr>
          <w:i/>
        </w:rPr>
        <w:t>premium</w:t>
      </w:r>
      <w:r>
        <w:t xml:space="preserve"> </w:t>
      </w:r>
      <w:r>
        <w:rPr>
          <w:i/>
        </w:rPr>
        <w:t>wellness</w:t>
      </w:r>
      <w:r>
        <w:t>); интернационалне кампање.</w:t>
      </w:r>
    </w:p>
    <w:p w14:paraId="30B256ED">
      <w:pPr>
        <w:pStyle w:val="3"/>
        <w:numPr>
          <w:ilvl w:val="0"/>
          <w:numId w:val="17"/>
        </w:numPr>
        <w:jc w:val="both"/>
      </w:pPr>
      <w:r>
        <w:rPr>
          <w:b/>
          <w:bCs/>
        </w:rPr>
        <w:t>Процеси:</w:t>
      </w:r>
      <w:r>
        <w:t xml:space="preserve"> </w:t>
      </w:r>
      <w:r>
        <w:rPr>
          <w:i/>
        </w:rPr>
        <w:t>revenue</w:t>
      </w:r>
      <w:r>
        <w:t xml:space="preserve"> </w:t>
      </w:r>
      <w:r>
        <w:rPr>
          <w:i/>
        </w:rPr>
        <w:t>management</w:t>
      </w:r>
      <w:r>
        <w:t xml:space="preserve"> у пуној примени; </w:t>
      </w:r>
      <w:r>
        <w:rPr>
          <w:i/>
        </w:rPr>
        <w:t>SLA</w:t>
      </w:r>
      <w:r>
        <w:t xml:space="preserve"> за </w:t>
      </w:r>
      <w:r>
        <w:rPr>
          <w:i/>
        </w:rPr>
        <w:t>booking</w:t>
      </w:r>
      <w:r>
        <w:t xml:space="preserve">/рецепцију; квартални „прицинг </w:t>
      </w:r>
      <w:r>
        <w:rPr>
          <w:i/>
        </w:rPr>
        <w:t>review</w:t>
      </w:r>
      <w:r>
        <w:t>“.</w:t>
      </w:r>
    </w:p>
    <w:p w14:paraId="44BD8708">
      <w:pPr>
        <w:pStyle w:val="3"/>
        <w:numPr>
          <w:ilvl w:val="0"/>
          <w:numId w:val="17"/>
        </w:numPr>
        <w:spacing w:after="240"/>
        <w:jc w:val="both"/>
      </w:pPr>
      <w:r>
        <w:rPr>
          <w:b/>
          <w:bCs/>
          <w:i/>
        </w:rPr>
        <w:t>KPI</w:t>
      </w:r>
      <w:r>
        <w:rPr>
          <w:b/>
          <w:bCs/>
        </w:rPr>
        <w:t xml:space="preserve"> (крајњи циљ 2027):</w:t>
      </w:r>
      <w:r>
        <w:t xml:space="preserve"> </w:t>
      </w:r>
      <w:r>
        <w:rPr>
          <w:i/>
        </w:rPr>
        <w:t>OCC</w:t>
      </w:r>
      <w:r>
        <w:t xml:space="preserve"> ≥70%; ~26.000 </w:t>
      </w:r>
      <w:r>
        <w:rPr>
          <w:i/>
        </w:rPr>
        <w:t>BO</w:t>
      </w:r>
      <w:r>
        <w:t>-дана; тржишни приход ≥35%; директне резервације ≥33%.</w:t>
      </w:r>
      <w:r>
        <w:br w:type="textWrapping"/>
      </w:r>
    </w:p>
    <w:p w14:paraId="35F21BF1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28" w:name="_2ag7jbdc2i8j" w:colFirst="0" w:colLast="0"/>
      <w:bookmarkEnd w:id="28"/>
      <w:r>
        <w:rPr>
          <w:b/>
          <w:bCs/>
          <w:color w:val="000000"/>
          <w:sz w:val="22"/>
          <w:szCs w:val="22"/>
        </w:rPr>
        <w:t>5.3. Година 2028 (скалирање и диференцијација)</w:t>
      </w:r>
    </w:p>
    <w:p w14:paraId="2426C4D1">
      <w:pPr>
        <w:pStyle w:val="3"/>
        <w:numPr>
          <w:ilvl w:val="0"/>
          <w:numId w:val="18"/>
        </w:numPr>
        <w:spacing w:before="240"/>
        <w:jc w:val="both"/>
      </w:pPr>
      <w:r>
        <w:rPr>
          <w:b/>
          <w:bCs/>
        </w:rPr>
        <w:t>Капацитети/објекти:</w:t>
      </w:r>
      <w:r>
        <w:t xml:space="preserve"> завршене приоритетне реконструкције у Новом Заводу/Сокограду; инхалаторијум/физикална у пуном стандарду.</w:t>
      </w:r>
    </w:p>
    <w:p w14:paraId="7E595EB6">
      <w:pPr>
        <w:pStyle w:val="3"/>
        <w:numPr>
          <w:ilvl w:val="0"/>
          <w:numId w:val="18"/>
        </w:numPr>
        <w:jc w:val="both"/>
      </w:pPr>
      <w:r>
        <w:rPr>
          <w:b/>
          <w:bCs/>
        </w:rPr>
        <w:t>Продаја/</w:t>
      </w:r>
      <w:r>
        <w:rPr>
          <w:b/>
          <w:bCs/>
          <w:i/>
        </w:rPr>
        <w:t>marketing</w:t>
      </w:r>
      <w:r>
        <w:rPr>
          <w:b/>
          <w:bCs/>
        </w:rPr>
        <w:t>:</w:t>
      </w:r>
      <w:r>
        <w:t xml:space="preserve"> фокус на </w:t>
      </w:r>
      <w:r>
        <w:rPr>
          <w:i/>
        </w:rPr>
        <w:t>premium</w:t>
      </w:r>
      <w:r>
        <w:t xml:space="preserve"> пакетима и дужим боравцима; лојалти програм; проширење мреже агенција.</w:t>
      </w:r>
    </w:p>
    <w:p w14:paraId="459375AF">
      <w:pPr>
        <w:pStyle w:val="3"/>
        <w:numPr>
          <w:ilvl w:val="0"/>
          <w:numId w:val="18"/>
        </w:numPr>
        <w:jc w:val="both"/>
      </w:pPr>
      <w:r>
        <w:rPr>
          <w:b/>
          <w:bCs/>
        </w:rPr>
        <w:t>Процеси:</w:t>
      </w:r>
      <w:r>
        <w:t xml:space="preserve"> пун циклус </w:t>
      </w:r>
      <w:r>
        <w:rPr>
          <w:i/>
        </w:rPr>
        <w:t>CRM</w:t>
      </w:r>
      <w:r>
        <w:t xml:space="preserve"> аутоматизација (пре–током–после боравка); централни календар промоција.</w:t>
      </w:r>
    </w:p>
    <w:p w14:paraId="4516A74C">
      <w:pPr>
        <w:pStyle w:val="3"/>
        <w:numPr>
          <w:ilvl w:val="0"/>
          <w:numId w:val="18"/>
        </w:numPr>
        <w:spacing w:after="240"/>
        <w:jc w:val="both"/>
      </w:pPr>
      <w:r>
        <w:rPr>
          <w:b/>
          <w:bCs/>
          <w:i/>
        </w:rPr>
        <w:t>KPI</w:t>
      </w:r>
      <w:r>
        <w:rPr>
          <w:b/>
          <w:bCs/>
        </w:rPr>
        <w:t xml:space="preserve"> (крајњи циљ 2028):</w:t>
      </w:r>
      <w:r>
        <w:t xml:space="preserve"> </w:t>
      </w:r>
      <w:r>
        <w:rPr>
          <w:i/>
        </w:rPr>
        <w:t>OCC</w:t>
      </w:r>
      <w:r>
        <w:t xml:space="preserve"> ≥75%; ~29.000 </w:t>
      </w:r>
      <w:r>
        <w:rPr>
          <w:i/>
        </w:rPr>
        <w:t>BO</w:t>
      </w:r>
      <w:r>
        <w:t>-дана; тржишни приход ≥38%; директне резервације ≥40%.</w:t>
      </w:r>
      <w:r>
        <w:br w:type="textWrapping"/>
      </w:r>
    </w:p>
    <w:p w14:paraId="111CD798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29" w:name="_hgca9o5dwf50" w:colFirst="0" w:colLast="0"/>
      <w:bookmarkEnd w:id="29"/>
      <w:r>
        <w:rPr>
          <w:b/>
          <w:bCs/>
          <w:color w:val="000000"/>
          <w:sz w:val="22"/>
          <w:szCs w:val="22"/>
        </w:rPr>
        <w:t>5.4. Година 2029 (консолидовани модел и одрживост)</w:t>
      </w:r>
    </w:p>
    <w:p w14:paraId="1A87928D">
      <w:pPr>
        <w:pStyle w:val="3"/>
        <w:numPr>
          <w:ilvl w:val="0"/>
          <w:numId w:val="19"/>
        </w:numPr>
        <w:spacing w:before="240"/>
        <w:jc w:val="both"/>
      </w:pPr>
      <w:r>
        <w:rPr>
          <w:b/>
          <w:bCs/>
        </w:rPr>
        <w:t>Капацитети/објекти:</w:t>
      </w:r>
      <w:r>
        <w:t xml:space="preserve"> </w:t>
      </w:r>
      <w:r>
        <w:rPr>
          <w:i/>
        </w:rPr>
        <w:t>fine</w:t>
      </w:r>
      <w:r>
        <w:t>-</w:t>
      </w:r>
      <w:r>
        <w:rPr>
          <w:i/>
        </w:rPr>
        <w:t>tuning</w:t>
      </w:r>
      <w:r>
        <w:t xml:space="preserve"> ентеријера; превентивно одржавање; стабилно целогодишње пословање без затварања.</w:t>
      </w:r>
    </w:p>
    <w:p w14:paraId="5E0DE4C4">
      <w:pPr>
        <w:pStyle w:val="3"/>
        <w:numPr>
          <w:ilvl w:val="0"/>
          <w:numId w:val="19"/>
        </w:numPr>
        <w:jc w:val="both"/>
      </w:pPr>
      <w:r>
        <w:rPr>
          <w:b/>
          <w:bCs/>
        </w:rPr>
        <w:t>Продаја/</w:t>
      </w:r>
      <w:r>
        <w:rPr>
          <w:b/>
          <w:bCs/>
          <w:i/>
        </w:rPr>
        <w:t>marketing</w:t>
      </w:r>
      <w:r>
        <w:rPr>
          <w:b/>
          <w:bCs/>
        </w:rPr>
        <w:t>:</w:t>
      </w:r>
      <w:r>
        <w:t xml:space="preserve"> 2 међународна пројекта; зрело партнерство са </w:t>
      </w:r>
      <w:r>
        <w:rPr>
          <w:i/>
        </w:rPr>
        <w:t>TO</w:t>
      </w:r>
      <w:r>
        <w:t xml:space="preserve"> и хотелијерима; висока репетиција гостију.</w:t>
      </w:r>
    </w:p>
    <w:p w14:paraId="560E2039">
      <w:pPr>
        <w:pStyle w:val="3"/>
        <w:numPr>
          <w:ilvl w:val="0"/>
          <w:numId w:val="19"/>
        </w:numPr>
        <w:jc w:val="both"/>
      </w:pPr>
      <w:r>
        <w:rPr>
          <w:b/>
          <w:bCs/>
        </w:rPr>
        <w:t>Процеси:</w:t>
      </w:r>
      <w:r>
        <w:t xml:space="preserve"> </w:t>
      </w:r>
      <w:r>
        <w:rPr>
          <w:i/>
        </w:rPr>
        <w:t>BI</w:t>
      </w:r>
      <w:r>
        <w:t xml:space="preserve"> дасхбоарди за реал-тиме праћење; годишњи „</w:t>
      </w:r>
      <w:r>
        <w:rPr>
          <w:i/>
        </w:rPr>
        <w:t>product</w:t>
      </w:r>
      <w:r>
        <w:t xml:space="preserve"> </w:t>
      </w:r>
      <w:r>
        <w:rPr>
          <w:i/>
        </w:rPr>
        <w:t>mix</w:t>
      </w:r>
      <w:r>
        <w:t xml:space="preserve">“ </w:t>
      </w:r>
      <w:r>
        <w:rPr>
          <w:i/>
        </w:rPr>
        <w:t>review</w:t>
      </w:r>
      <w:r>
        <w:t>; континуирано унапређење.</w:t>
      </w:r>
    </w:p>
    <w:p w14:paraId="76F70F8F">
      <w:pPr>
        <w:pStyle w:val="3"/>
        <w:numPr>
          <w:ilvl w:val="0"/>
          <w:numId w:val="19"/>
        </w:numPr>
        <w:spacing w:after="240"/>
        <w:jc w:val="both"/>
      </w:pPr>
      <w:r>
        <w:rPr>
          <w:b/>
          <w:bCs/>
          <w:i/>
        </w:rPr>
        <w:t>KPI</w:t>
      </w:r>
      <w:r>
        <w:rPr>
          <w:b/>
          <w:bCs/>
        </w:rPr>
        <w:t xml:space="preserve"> (крајњи циљ 2029):</w:t>
      </w:r>
      <w:r>
        <w:t xml:space="preserve"> </w:t>
      </w:r>
      <w:r>
        <w:rPr>
          <w:i/>
        </w:rPr>
        <w:t>OCC</w:t>
      </w:r>
      <w:r>
        <w:t xml:space="preserve"> ≥80%; ~32.000 </w:t>
      </w:r>
      <w:r>
        <w:rPr>
          <w:i/>
        </w:rPr>
        <w:t>BO</w:t>
      </w:r>
      <w:r>
        <w:t xml:space="preserve">-дана; тржишни приход ≥40%; стабилан </w:t>
      </w:r>
      <w:r>
        <w:rPr>
          <w:i/>
        </w:rPr>
        <w:t>RevPBD</w:t>
      </w:r>
      <w:r>
        <w:t xml:space="preserve"> раст 10–12% </w:t>
      </w:r>
      <w:r>
        <w:rPr>
          <w:i/>
        </w:rPr>
        <w:t>YoY</w:t>
      </w:r>
      <w:r>
        <w:t>.</w:t>
      </w:r>
      <w:r>
        <w:br w:type="textWrapping"/>
      </w:r>
    </w:p>
    <w:p w14:paraId="7F1CCD84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30" w:name="_540r9hcgp6yc" w:colFirst="0" w:colLast="0"/>
      <w:bookmarkEnd w:id="30"/>
      <w:bookmarkStart w:id="31" w:name="_395t2j91r8gz" w:colFirst="0" w:colLast="0"/>
      <w:bookmarkEnd w:id="31"/>
      <w:r>
        <w:rPr>
          <w:b/>
          <w:bCs/>
        </w:rPr>
        <w:t xml:space="preserve">6. </w:t>
      </w:r>
      <w:r>
        <w:rPr>
          <w:b/>
          <w:bCs/>
          <w:i/>
        </w:rPr>
        <w:t>KPI</w:t>
      </w:r>
      <w:r>
        <w:rPr>
          <w:b/>
          <w:bCs/>
        </w:rPr>
        <w:t xml:space="preserve"> систем и методологија мерења</w:t>
      </w:r>
    </w:p>
    <w:p w14:paraId="0F0548CD">
      <w:pPr>
        <w:pStyle w:val="3"/>
        <w:jc w:val="both"/>
      </w:pPr>
      <w:r>
        <w:t xml:space="preserve">Дефинисање кључних индикатора успеха представља основу за мерење напретка и контролу остваривања стратешких циљева. </w:t>
      </w:r>
      <w:r>
        <w:rPr>
          <w:i/>
        </w:rPr>
        <w:t>KPI</w:t>
      </w:r>
      <w:r>
        <w:t xml:space="preserve"> методологија је структурирана тако да обезбеди транспарентност, објективност и упоредивост резултата у различитим временским хоризонтима, као и могућност брзог реаговања на одступања. Ови индикатори се деле у четири категорије: финансијски, оперативни, маркетиншко-продајни и индикатори задовољства корисника.</w:t>
      </w:r>
    </w:p>
    <w:p w14:paraId="58C6A016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 xml:space="preserve">Финансијски </w:t>
      </w:r>
      <w:r>
        <w:rPr>
          <w:b/>
          <w:bCs/>
          <w:i/>
        </w:rPr>
        <w:t>KPI</w:t>
      </w:r>
      <w:r>
        <w:rPr>
          <w:b/>
          <w:bCs/>
        </w:rPr>
        <w:t>:</w:t>
      </w:r>
    </w:p>
    <w:p w14:paraId="56F84DFF">
      <w:pPr>
        <w:pStyle w:val="3"/>
        <w:numPr>
          <w:ilvl w:val="0"/>
          <w:numId w:val="20"/>
        </w:numPr>
        <w:spacing w:before="240"/>
        <w:jc w:val="both"/>
      </w:pPr>
      <w:r>
        <w:t>Приход од комерцијалних корисника у апсолутним износима и у процентуалном учешћу у укупним приходима болнице (циљ: раст са 30% у 2025. на 45% до 2029. године).</w:t>
      </w:r>
    </w:p>
    <w:p w14:paraId="0ED51FF5">
      <w:pPr>
        <w:pStyle w:val="3"/>
        <w:numPr>
          <w:ilvl w:val="0"/>
          <w:numId w:val="20"/>
        </w:numPr>
        <w:jc w:val="both"/>
      </w:pPr>
      <w:r>
        <w:t>Просечан приход по болничком дану (</w:t>
      </w:r>
      <w:r>
        <w:rPr>
          <w:i/>
        </w:rPr>
        <w:t>RevPBD</w:t>
      </w:r>
      <w:r>
        <w:t>), са циљем раста од најмање 10% годишње.</w:t>
      </w:r>
    </w:p>
    <w:p w14:paraId="2137B832">
      <w:pPr>
        <w:pStyle w:val="3"/>
        <w:numPr>
          <w:ilvl w:val="0"/>
          <w:numId w:val="20"/>
        </w:numPr>
        <w:spacing w:after="240"/>
        <w:jc w:val="both"/>
      </w:pPr>
      <w:r>
        <w:t>Нето профитабилност комерцијалног сегмента (циљ: позитиван П&amp;Л у свакој години плана).</w:t>
      </w:r>
    </w:p>
    <w:p w14:paraId="71A226DC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 xml:space="preserve">Оперативни </w:t>
      </w:r>
      <w:r>
        <w:rPr>
          <w:b/>
          <w:bCs/>
          <w:i/>
        </w:rPr>
        <w:t>KPI</w:t>
      </w:r>
      <w:r>
        <w:rPr>
          <w:b/>
          <w:bCs/>
        </w:rPr>
        <w:t>:</w:t>
      </w:r>
    </w:p>
    <w:p w14:paraId="74B9B7CF">
      <w:pPr>
        <w:pStyle w:val="3"/>
        <w:numPr>
          <w:ilvl w:val="0"/>
          <w:numId w:val="21"/>
        </w:numPr>
        <w:spacing w:before="240"/>
        <w:jc w:val="both"/>
      </w:pPr>
      <w:r>
        <w:t>Попуњеност капацитета (циљ: 60% у 2026, 70% у 2027, 75% у 2028, 80% у 2029).</w:t>
      </w:r>
    </w:p>
    <w:p w14:paraId="13CD8400">
      <w:pPr>
        <w:pStyle w:val="3"/>
        <w:numPr>
          <w:ilvl w:val="0"/>
          <w:numId w:val="21"/>
        </w:numPr>
        <w:jc w:val="both"/>
      </w:pPr>
      <w:r>
        <w:t>Број болничких дана реализованих у комерцијалном сегменту (циљ: 32.000 до краја 2029).</w:t>
      </w:r>
    </w:p>
    <w:p w14:paraId="4E4DBAF5">
      <w:pPr>
        <w:pStyle w:val="3"/>
        <w:numPr>
          <w:ilvl w:val="0"/>
          <w:numId w:val="21"/>
        </w:numPr>
        <w:spacing w:after="240"/>
        <w:jc w:val="both"/>
      </w:pPr>
      <w:r>
        <w:t>Број дана када објекти послују током календарске године (циљ: 365 дана континуираног рада од 2029).</w:t>
      </w:r>
    </w:p>
    <w:p w14:paraId="170A235F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 xml:space="preserve">Маркетиншко-продајни </w:t>
      </w:r>
      <w:r>
        <w:rPr>
          <w:b/>
          <w:bCs/>
          <w:i/>
        </w:rPr>
        <w:t>KPI</w:t>
      </w:r>
      <w:r>
        <w:rPr>
          <w:b/>
          <w:bCs/>
        </w:rPr>
        <w:t>:</w:t>
      </w:r>
    </w:p>
    <w:p w14:paraId="7AFBA93B">
      <w:pPr>
        <w:pStyle w:val="3"/>
        <w:numPr>
          <w:ilvl w:val="0"/>
          <w:numId w:val="22"/>
        </w:numPr>
        <w:spacing w:before="240"/>
        <w:jc w:val="both"/>
      </w:pPr>
      <w:r>
        <w:t>Број закључених Б2Б уговора са агенцијама, компанијама и осигуравајућим кућама (циљ: 15 уговора до 2027, 25 до 2029).</w:t>
      </w:r>
    </w:p>
    <w:p w14:paraId="239845B4">
      <w:pPr>
        <w:pStyle w:val="3"/>
        <w:numPr>
          <w:ilvl w:val="0"/>
          <w:numId w:val="22"/>
        </w:numPr>
        <w:jc w:val="both"/>
      </w:pPr>
      <w:r>
        <w:t>Удео директних резервација путем дигиталних канала (циљ: 40% до 2028).</w:t>
      </w:r>
    </w:p>
    <w:p w14:paraId="23B6DB3E">
      <w:pPr>
        <w:pStyle w:val="3"/>
        <w:numPr>
          <w:ilvl w:val="0"/>
          <w:numId w:val="22"/>
        </w:numPr>
        <w:spacing w:after="240"/>
        <w:jc w:val="both"/>
      </w:pPr>
      <w:r>
        <w:t>Број реализованих међународних промотивних активности (циљ: најмање 2 годишње од 2027).</w:t>
      </w:r>
    </w:p>
    <w:p w14:paraId="39058CA0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  <w:i/>
        </w:rPr>
        <w:t>KPI</w:t>
      </w:r>
      <w:r>
        <w:rPr>
          <w:b/>
          <w:bCs/>
        </w:rPr>
        <w:t xml:space="preserve"> задовољства корисника:</w:t>
      </w:r>
    </w:p>
    <w:p w14:paraId="24F0AB52">
      <w:pPr>
        <w:pStyle w:val="3"/>
        <w:numPr>
          <w:ilvl w:val="0"/>
          <w:numId w:val="23"/>
        </w:numPr>
        <w:spacing w:before="240"/>
        <w:jc w:val="both"/>
      </w:pPr>
      <w:r>
        <w:t xml:space="preserve">Оцене задовољства корисника на основу анкетних листића и </w:t>
      </w:r>
      <w:r>
        <w:rPr>
          <w:i/>
        </w:rPr>
        <w:t>online</w:t>
      </w:r>
      <w:r>
        <w:t xml:space="preserve"> рецензија (циљ: просечна оцена ≥ 4.5/5).</w:t>
      </w:r>
    </w:p>
    <w:p w14:paraId="3FE9306C">
      <w:pPr>
        <w:pStyle w:val="3"/>
        <w:numPr>
          <w:ilvl w:val="0"/>
          <w:numId w:val="23"/>
        </w:numPr>
        <w:jc w:val="both"/>
      </w:pPr>
      <w:r>
        <w:t>Проценат поновних долазака комерцијалних корисника (циљ: 25% до 2029).</w:t>
      </w:r>
    </w:p>
    <w:p w14:paraId="6FF36B95">
      <w:pPr>
        <w:pStyle w:val="3"/>
        <w:numPr>
          <w:ilvl w:val="0"/>
          <w:numId w:val="23"/>
        </w:numPr>
        <w:spacing w:after="240"/>
        <w:jc w:val="both"/>
      </w:pPr>
      <w:r>
        <w:t>Број позитивних медијских објава и дигиталних препорука у току године.</w:t>
      </w:r>
    </w:p>
    <w:p w14:paraId="687336DA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32" w:name="_vngv67gyzmv7" w:colFirst="0" w:colLast="0"/>
      <w:bookmarkEnd w:id="32"/>
      <w:r>
        <w:br w:type="page"/>
      </w:r>
    </w:p>
    <w:p w14:paraId="270C2FA0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33" w:name="_apoq0evvj33x" w:colFirst="0" w:colLast="0"/>
      <w:bookmarkEnd w:id="33"/>
      <w:r>
        <w:rPr>
          <w:b/>
          <w:bCs/>
          <w:color w:val="000000"/>
          <w:sz w:val="26"/>
          <w:szCs w:val="26"/>
        </w:rPr>
        <w:t xml:space="preserve">6.1. </w:t>
      </w:r>
      <w:r>
        <w:rPr>
          <w:b/>
          <w:bCs/>
          <w:i/>
          <w:color w:val="000000"/>
          <w:sz w:val="26"/>
          <w:szCs w:val="26"/>
        </w:rPr>
        <w:t>KPI</w:t>
      </w:r>
      <w:r>
        <w:rPr>
          <w:b/>
          <w:bCs/>
          <w:color w:val="000000"/>
          <w:sz w:val="26"/>
          <w:szCs w:val="26"/>
        </w:rPr>
        <w:t xml:space="preserve"> циљне вредности 2026–2029</w:t>
      </w:r>
    </w:p>
    <w:p w14:paraId="198BCC38">
      <w:pPr>
        <w:pStyle w:val="3"/>
        <w:spacing w:before="240" w:after="240"/>
        <w:jc w:val="both"/>
      </w:pPr>
      <w:r>
        <w:t xml:space="preserve">Ревизорско тело захтева јасно дефинисане, квантификоване циљеве за период 2026–2029. </w:t>
      </w:r>
      <w:r>
        <w:rPr>
          <w:i/>
        </w:rPr>
        <w:t>KPI</w:t>
      </w:r>
      <w:r>
        <w:t xml:space="preserve"> (</w:t>
      </w:r>
      <w:r>
        <w:rPr>
          <w:i/>
        </w:rPr>
        <w:t>Key</w:t>
      </w:r>
      <w:r>
        <w:t xml:space="preserve"> </w:t>
      </w:r>
      <w:r>
        <w:rPr>
          <w:i/>
        </w:rPr>
        <w:t>Performance</w:t>
      </w:r>
      <w:r>
        <w:t xml:space="preserve"> </w:t>
      </w:r>
      <w:r>
        <w:rPr>
          <w:i/>
        </w:rPr>
        <w:t>Indicators</w:t>
      </w:r>
      <w:r>
        <w:t xml:space="preserve">) представљају основу за мерење успеха реализације овог стратешког плана и биће праћени кроз дигитални </w:t>
      </w:r>
      <w:r>
        <w:rPr>
          <w:i/>
        </w:rPr>
        <w:t>dashboard</w:t>
      </w:r>
      <w:r>
        <w:t xml:space="preserve"> и редовне извештаје.</w:t>
      </w:r>
    </w:p>
    <w:p w14:paraId="23263193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34" w:name="_ecbgs9ixywtu" w:colFirst="0" w:colLast="0"/>
      <w:bookmarkEnd w:id="34"/>
      <w:r>
        <w:rPr>
          <w:b/>
          <w:bCs/>
          <w:color w:val="000000"/>
          <w:sz w:val="22"/>
          <w:szCs w:val="22"/>
        </w:rPr>
        <w:t xml:space="preserve">Кључни </w:t>
      </w:r>
      <w:r>
        <w:rPr>
          <w:b/>
          <w:bCs/>
          <w:i/>
          <w:color w:val="000000"/>
          <w:sz w:val="22"/>
          <w:szCs w:val="22"/>
        </w:rPr>
        <w:t>KPI</w:t>
      </w:r>
      <w:r>
        <w:rPr>
          <w:b/>
          <w:bCs/>
          <w:color w:val="000000"/>
          <w:sz w:val="22"/>
          <w:szCs w:val="22"/>
        </w:rPr>
        <w:t xml:space="preserve"> циљеви (табеларни приказ)</w:t>
      </w:r>
    </w:p>
    <w:p w14:paraId="0B4894D8">
      <w:pPr>
        <w:pStyle w:val="3"/>
        <w:jc w:val="both"/>
      </w:pPr>
    </w:p>
    <w:tbl>
      <w:tblPr>
        <w:tblStyle w:val="16"/>
        <w:tblW w:w="9360" w:type="dxa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3945"/>
        <w:gridCol w:w="1305"/>
        <w:gridCol w:w="1035"/>
        <w:gridCol w:w="990"/>
        <w:gridCol w:w="1035"/>
        <w:gridCol w:w="1050"/>
      </w:tblGrid>
      <w:tr w14:paraId="45B82014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45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82DE09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i/>
                <w:sz w:val="20"/>
                <w:szCs w:val="20"/>
              </w:rPr>
              <w:t>KPI</w:t>
            </w:r>
            <w:r>
              <w:rPr>
                <w:b/>
                <w:bCs/>
                <w:sz w:val="20"/>
                <w:szCs w:val="20"/>
              </w:rPr>
              <w:t xml:space="preserve"> показатељ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8CE89F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2025 (база)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C4DE38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2026 циљ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8E0EF9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2027 циљ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E1070D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2028 циљ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D85816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2029 циљ</w:t>
            </w:r>
          </w:p>
        </w:tc>
      </w:tr>
      <w:tr w14:paraId="24DC087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50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B3822C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Искоришћеност комерцијалних капацитета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95A2D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~50%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949ED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60%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9E99A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70%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79D676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75%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25668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80%</w:t>
            </w:r>
          </w:p>
        </w:tc>
      </w:tr>
      <w:tr w14:paraId="064B745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3D7D8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Приход од комерцијалних корисника (индекс, 2025=100)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052B4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100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B674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115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9669C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130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660192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145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56E993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160</w:t>
            </w:r>
          </w:p>
        </w:tc>
      </w:tr>
      <w:tr w14:paraId="177F9BF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50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BAC91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Број нових Б2Б уговора (осиг./компаније)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C1DDA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626A5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+5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96C834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+10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8B2DB6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+15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65692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+20</w:t>
            </w:r>
          </w:p>
        </w:tc>
      </w:tr>
      <w:tr w14:paraId="0186272B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50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8F1F4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Задовољство корисника (скала 1–5)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B0E59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4,0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651EDC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4,2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5DB68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4,4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31879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4,5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2B2DB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4,7</w:t>
            </w:r>
          </w:p>
        </w:tc>
      </w:tr>
      <w:tr w14:paraId="596220EA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50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9953F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Број промотивних кампања годишње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381A0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4B7352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93DAC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3CFF7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21B67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</w:tr>
      <w:tr w14:paraId="61C36AD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50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958C7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Просечан приход по соби (</w:t>
            </w:r>
            <w:r>
              <w:rPr>
                <w:i/>
                <w:sz w:val="18"/>
                <w:szCs w:val="18"/>
              </w:rPr>
              <w:t>RPS</w:t>
            </w:r>
            <w:r>
              <w:rPr>
                <w:sz w:val="18"/>
                <w:szCs w:val="18"/>
              </w:rPr>
              <w:t>)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3BB5A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100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B4DFD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115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FC5E4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125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A7AF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135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0C9BD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150</w:t>
            </w:r>
          </w:p>
        </w:tc>
      </w:tr>
      <w:tr w14:paraId="18F6F91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50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E66484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Искоришћеност терапијских слотова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AAEE73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60%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8A8B1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70%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06DEF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75%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A4ECB3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80%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9344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85%</w:t>
            </w:r>
          </w:p>
        </w:tc>
      </w:tr>
      <w:tr w14:paraId="79F0E1F6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500" w:hRule="atLeast"/>
          <w:tblHeader/>
        </w:trPr>
        <w:tc>
          <w:tcPr>
            <w:tcW w:w="39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BF69E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Број иностраних корисника (%)</w:t>
            </w:r>
          </w:p>
        </w:tc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4FC99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10%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F5A8E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12%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5D9A3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15%</w:t>
            </w:r>
          </w:p>
        </w:tc>
        <w:tc>
          <w:tcPr>
            <w:tcW w:w="10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F1B980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18%</w:t>
            </w:r>
          </w:p>
        </w:tc>
        <w:tc>
          <w:tcPr>
            <w:tcW w:w="10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66199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20%</w:t>
            </w:r>
          </w:p>
        </w:tc>
      </w:tr>
    </w:tbl>
    <w:p w14:paraId="2919A356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35" w:name="_5jyl69fmbcrs" w:colFirst="0" w:colLast="0"/>
      <w:bookmarkEnd w:id="35"/>
      <w:r>
        <w:rPr>
          <w:b/>
          <w:bCs/>
          <w:color w:val="000000"/>
          <w:sz w:val="22"/>
          <w:szCs w:val="22"/>
        </w:rPr>
        <w:t xml:space="preserve">Објашњење и значај </w:t>
      </w:r>
      <w:r>
        <w:rPr>
          <w:b/>
          <w:bCs/>
          <w:i/>
          <w:color w:val="000000"/>
          <w:sz w:val="22"/>
          <w:szCs w:val="22"/>
        </w:rPr>
        <w:t>KPI</w:t>
      </w:r>
      <w:r>
        <w:rPr>
          <w:b/>
          <w:bCs/>
          <w:color w:val="000000"/>
          <w:sz w:val="22"/>
          <w:szCs w:val="22"/>
        </w:rPr>
        <w:t>-јева</w:t>
      </w:r>
    </w:p>
    <w:p w14:paraId="579BF594">
      <w:pPr>
        <w:pStyle w:val="3"/>
        <w:numPr>
          <w:ilvl w:val="0"/>
          <w:numId w:val="24"/>
        </w:numPr>
        <w:spacing w:before="240"/>
        <w:jc w:val="both"/>
      </w:pPr>
      <w:r>
        <w:rPr>
          <w:b/>
          <w:bCs/>
        </w:rPr>
        <w:t>Искоришћеност капацитета</w:t>
      </w:r>
      <w:r>
        <w:t>: мери ефикасност коришћења постојећих комерцијалних постеља и директно утиче на приходе.</w:t>
      </w:r>
    </w:p>
    <w:p w14:paraId="152918B8">
      <w:pPr>
        <w:pStyle w:val="3"/>
        <w:numPr>
          <w:ilvl w:val="0"/>
          <w:numId w:val="24"/>
        </w:numPr>
        <w:jc w:val="both"/>
      </w:pPr>
      <w:r>
        <w:rPr>
          <w:b/>
          <w:bCs/>
        </w:rPr>
        <w:t>Приходи од комерцијалних корисника</w:t>
      </w:r>
      <w:r>
        <w:t>: кључан показатељ финансијске одрживости и поврата инвестиција.</w:t>
      </w:r>
    </w:p>
    <w:p w14:paraId="64A5F82C">
      <w:pPr>
        <w:pStyle w:val="3"/>
        <w:numPr>
          <w:ilvl w:val="0"/>
          <w:numId w:val="24"/>
        </w:numPr>
        <w:jc w:val="both"/>
      </w:pPr>
      <w:r>
        <w:rPr>
          <w:b/>
          <w:bCs/>
        </w:rPr>
        <w:t>Б2Б уговори</w:t>
      </w:r>
      <w:r>
        <w:t xml:space="preserve">: омогућавају стабилне и предвидиве токове корисника (осигурања, фирме, </w:t>
      </w:r>
      <w:r>
        <w:rPr>
          <w:i/>
        </w:rPr>
        <w:t>PIO</w:t>
      </w:r>
      <w:r>
        <w:t xml:space="preserve"> фондови).</w:t>
      </w:r>
    </w:p>
    <w:p w14:paraId="4E2EAC11">
      <w:pPr>
        <w:pStyle w:val="3"/>
        <w:numPr>
          <w:ilvl w:val="0"/>
          <w:numId w:val="24"/>
        </w:numPr>
        <w:jc w:val="both"/>
      </w:pPr>
      <w:r>
        <w:rPr>
          <w:b/>
          <w:bCs/>
        </w:rPr>
        <w:t>Задовољство корисника</w:t>
      </w:r>
      <w:r>
        <w:t>: репутациони индикатор који утиче на поновну посету и препоруке.</w:t>
      </w:r>
    </w:p>
    <w:p w14:paraId="6F8BDA38">
      <w:pPr>
        <w:pStyle w:val="3"/>
        <w:numPr>
          <w:ilvl w:val="0"/>
          <w:numId w:val="24"/>
        </w:numPr>
        <w:jc w:val="both"/>
      </w:pPr>
      <w:r>
        <w:rPr>
          <w:b/>
          <w:bCs/>
        </w:rPr>
        <w:t>Промотивне кампање</w:t>
      </w:r>
      <w:r>
        <w:t>: повезују се са сезонским осцилацијама и јачањем бренда.</w:t>
      </w:r>
    </w:p>
    <w:p w14:paraId="633F9293">
      <w:pPr>
        <w:pStyle w:val="3"/>
        <w:numPr>
          <w:ilvl w:val="0"/>
          <w:numId w:val="24"/>
        </w:numPr>
        <w:jc w:val="both"/>
      </w:pPr>
      <w:r>
        <w:rPr>
          <w:b/>
          <w:bCs/>
        </w:rPr>
        <w:t>Приход по соби (</w:t>
      </w:r>
      <w:r>
        <w:rPr>
          <w:b/>
          <w:bCs/>
          <w:i/>
        </w:rPr>
        <w:t>RPS</w:t>
      </w:r>
      <w:r>
        <w:rPr>
          <w:b/>
          <w:bCs/>
        </w:rPr>
        <w:t>)</w:t>
      </w:r>
      <w:r>
        <w:t xml:space="preserve">: </w:t>
      </w:r>
      <w:r>
        <w:rPr>
          <w:i/>
        </w:rPr>
        <w:t>standard</w:t>
      </w:r>
      <w:r>
        <w:t xml:space="preserve"> у </w:t>
      </w:r>
      <w:r>
        <w:rPr>
          <w:i/>
        </w:rPr>
        <w:t>hospitality</w:t>
      </w:r>
      <w:r>
        <w:t xml:space="preserve"> индустрији за мерење профитабилности.</w:t>
      </w:r>
    </w:p>
    <w:p w14:paraId="18E6F18A">
      <w:pPr>
        <w:pStyle w:val="3"/>
        <w:numPr>
          <w:ilvl w:val="0"/>
          <w:numId w:val="24"/>
        </w:numPr>
        <w:jc w:val="both"/>
      </w:pPr>
      <w:r>
        <w:rPr>
          <w:b/>
          <w:bCs/>
        </w:rPr>
        <w:t>Искоришћеност терапијских слотова</w:t>
      </w:r>
      <w:r>
        <w:t>: индикатор ефикасности рада медицинског и рехабилитационог програма.</w:t>
      </w:r>
    </w:p>
    <w:p w14:paraId="6ECCF054">
      <w:pPr>
        <w:pStyle w:val="3"/>
        <w:numPr>
          <w:ilvl w:val="0"/>
          <w:numId w:val="24"/>
        </w:numPr>
        <w:spacing w:after="240"/>
        <w:jc w:val="both"/>
      </w:pPr>
      <w:r>
        <w:rPr>
          <w:b/>
          <w:bCs/>
        </w:rPr>
        <w:t>Број иностраних корисника</w:t>
      </w:r>
      <w:r>
        <w:t xml:space="preserve">: мери интернационализацију и позиционирање </w:t>
      </w:r>
      <w:r>
        <w:rPr>
          <w:i/>
        </w:rPr>
        <w:t>SB</w:t>
      </w:r>
      <w:r>
        <w:t xml:space="preserve"> Сокобања на међународном тржишту здравственог туризма.</w:t>
      </w:r>
    </w:p>
    <w:p w14:paraId="472CC55E">
      <w:pPr>
        <w:pStyle w:val="3"/>
        <w:spacing w:before="240" w:after="240"/>
        <w:jc w:val="both"/>
      </w:pPr>
      <w:r>
        <w:t>Ова табела даје јасан преглед почетних вредности, циљева по годинама и очекиваних ефеката до 2029. Године.</w:t>
      </w:r>
    </w:p>
    <w:p w14:paraId="1B9C94EC">
      <w:pPr>
        <w:pStyle w:val="3"/>
        <w:jc w:val="both"/>
        <w:rPr>
          <w:b/>
          <w:bCs/>
        </w:rPr>
      </w:pPr>
      <w:r>
        <w:rPr>
          <w:b/>
          <w:bCs/>
        </w:rPr>
        <w:t>Метрике за праћење резултата</w:t>
      </w:r>
    </w:p>
    <w:p w14:paraId="6109D92E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36" w:name="_n7zukmz17vrf" w:colFirst="0" w:colLast="0"/>
      <w:bookmarkEnd w:id="36"/>
      <w:r>
        <w:rPr>
          <w:b/>
          <w:bCs/>
          <w:color w:val="000000"/>
          <w:sz w:val="22"/>
          <w:szCs w:val="22"/>
        </w:rPr>
        <w:t xml:space="preserve">6.1.1 Примарни </w:t>
      </w:r>
      <w:r>
        <w:rPr>
          <w:b/>
          <w:bCs/>
          <w:i/>
          <w:color w:val="000000"/>
          <w:sz w:val="22"/>
          <w:szCs w:val="22"/>
        </w:rPr>
        <w:t>KPI</w:t>
      </w:r>
      <w:r>
        <w:rPr>
          <w:b/>
          <w:bCs/>
          <w:color w:val="000000"/>
          <w:sz w:val="22"/>
          <w:szCs w:val="22"/>
        </w:rPr>
        <w:t xml:space="preserve"> (са дефиницијама)</w:t>
      </w:r>
    </w:p>
    <w:p w14:paraId="51DDA36F">
      <w:pPr>
        <w:pStyle w:val="3"/>
        <w:numPr>
          <w:ilvl w:val="0"/>
          <w:numId w:val="25"/>
        </w:numPr>
        <w:spacing w:before="240"/>
        <w:jc w:val="both"/>
      </w:pPr>
      <w:r>
        <w:rPr>
          <w:b/>
          <w:bCs/>
          <w:i/>
        </w:rPr>
        <w:t>OCC</w:t>
      </w:r>
      <w:r>
        <w:rPr>
          <w:b/>
          <w:bCs/>
        </w:rPr>
        <w:t xml:space="preserve"> (</w:t>
      </w:r>
      <w:r>
        <w:rPr>
          <w:b/>
          <w:bCs/>
          <w:i/>
        </w:rPr>
        <w:t>Occupancy</w:t>
      </w:r>
      <w:r>
        <w:rPr>
          <w:b/>
          <w:bCs/>
        </w:rPr>
        <w:t>/Попуњеност)</w:t>
      </w:r>
      <w:r>
        <w:t xml:space="preserve"> = (реализовани </w:t>
      </w:r>
      <w:r>
        <w:rPr>
          <w:i/>
        </w:rPr>
        <w:t>BO</w:t>
      </w:r>
      <w:r>
        <w:t xml:space="preserve">-дани комерцијале) / (расположиви </w:t>
      </w:r>
      <w:r>
        <w:rPr>
          <w:i/>
        </w:rPr>
        <w:t>BO</w:t>
      </w:r>
      <w:r>
        <w:t>-дани комерцијале) × 100.</w:t>
      </w:r>
    </w:p>
    <w:p w14:paraId="3ED3BE7A">
      <w:pPr>
        <w:pStyle w:val="3"/>
        <w:numPr>
          <w:ilvl w:val="0"/>
          <w:numId w:val="25"/>
        </w:numPr>
        <w:jc w:val="both"/>
      </w:pPr>
      <w:r>
        <w:rPr>
          <w:b/>
          <w:bCs/>
          <w:i/>
        </w:rPr>
        <w:t>BO</w:t>
      </w:r>
      <w:r>
        <w:rPr>
          <w:b/>
          <w:bCs/>
        </w:rPr>
        <w:t>-дани (комерцијала)</w:t>
      </w:r>
      <w:r>
        <w:t xml:space="preserve"> = збир ноћења комерцијалних гостију у периоду.</w:t>
      </w:r>
    </w:p>
    <w:p w14:paraId="5C3F3066">
      <w:pPr>
        <w:pStyle w:val="3"/>
        <w:numPr>
          <w:ilvl w:val="0"/>
          <w:numId w:val="25"/>
        </w:numPr>
        <w:jc w:val="both"/>
      </w:pPr>
      <w:r>
        <w:rPr>
          <w:b/>
          <w:bCs/>
          <w:i/>
        </w:rPr>
        <w:t>RevPBD</w:t>
      </w:r>
      <w:r>
        <w:rPr>
          <w:b/>
          <w:bCs/>
        </w:rPr>
        <w:t xml:space="preserve"> (</w:t>
      </w:r>
      <w:r>
        <w:rPr>
          <w:b/>
          <w:bCs/>
          <w:i/>
        </w:rPr>
        <w:t>Revenue</w:t>
      </w:r>
      <w:r>
        <w:rPr>
          <w:b/>
          <w:bCs/>
        </w:rPr>
        <w:t xml:space="preserve"> </w:t>
      </w:r>
      <w:r>
        <w:rPr>
          <w:b/>
          <w:bCs/>
          <w:i/>
        </w:rPr>
        <w:t>per</w:t>
      </w:r>
      <w:r>
        <w:rPr>
          <w:b/>
          <w:bCs/>
        </w:rPr>
        <w:t xml:space="preserve"> Бед-</w:t>
      </w:r>
      <w:r>
        <w:rPr>
          <w:b/>
          <w:bCs/>
          <w:i/>
        </w:rPr>
        <w:t>Day</w:t>
      </w:r>
      <w:r>
        <w:rPr>
          <w:b/>
          <w:bCs/>
        </w:rPr>
        <w:t>)</w:t>
      </w:r>
      <w:r>
        <w:t xml:space="preserve"> = приход комерцијале / реализовани </w:t>
      </w:r>
      <w:r>
        <w:rPr>
          <w:i/>
        </w:rPr>
        <w:t>BO</w:t>
      </w:r>
      <w:r>
        <w:t>-дани комерцијале.</w:t>
      </w:r>
    </w:p>
    <w:p w14:paraId="7F30B056">
      <w:pPr>
        <w:pStyle w:val="3"/>
        <w:numPr>
          <w:ilvl w:val="0"/>
          <w:numId w:val="25"/>
        </w:numPr>
        <w:jc w:val="both"/>
      </w:pPr>
      <w:r>
        <w:rPr>
          <w:b/>
          <w:bCs/>
        </w:rPr>
        <w:t>Удео тржишних прихода</w:t>
      </w:r>
      <w:r>
        <w:t xml:space="preserve"> = приход комерцијале / укупан приход </w:t>
      </w:r>
      <w:r>
        <w:rPr>
          <w:i/>
        </w:rPr>
        <w:t>SB</w:t>
      </w:r>
      <w:r>
        <w:t>.</w:t>
      </w:r>
    </w:p>
    <w:p w14:paraId="09E9DA0B">
      <w:pPr>
        <w:pStyle w:val="3"/>
        <w:numPr>
          <w:ilvl w:val="0"/>
          <w:numId w:val="25"/>
        </w:numPr>
        <w:spacing w:after="240"/>
        <w:jc w:val="both"/>
      </w:pPr>
      <w:r>
        <w:rPr>
          <w:b/>
          <w:bCs/>
          <w:i/>
        </w:rPr>
        <w:t>Direct</w:t>
      </w:r>
      <w:r>
        <w:rPr>
          <w:b/>
          <w:bCs/>
        </w:rPr>
        <w:t xml:space="preserve"> </w:t>
      </w:r>
      <w:r>
        <w:rPr>
          <w:b/>
          <w:bCs/>
          <w:i/>
        </w:rPr>
        <w:t>booking</w:t>
      </w:r>
      <w:r>
        <w:rPr>
          <w:b/>
          <w:bCs/>
        </w:rPr>
        <w:t xml:space="preserve"> </w:t>
      </w:r>
      <w:r>
        <w:rPr>
          <w:b/>
          <w:bCs/>
          <w:i/>
        </w:rPr>
        <w:t>share</w:t>
      </w:r>
      <w:r>
        <w:t xml:space="preserve"> = директне </w:t>
      </w:r>
      <w:r>
        <w:rPr>
          <w:i/>
        </w:rPr>
        <w:t>online</w:t>
      </w:r>
      <w:r>
        <w:t xml:space="preserve"> резервације / укупне комерцијалне резервације.</w:t>
      </w:r>
      <w:r>
        <w:br w:type="textWrapping"/>
      </w:r>
      <w:r>
        <w:rPr>
          <w:b/>
          <w:bCs/>
        </w:rPr>
        <w:t>Искоришћеност терапијских слотова</w:t>
      </w:r>
      <w:r>
        <w:t xml:space="preserve"> = реализовани третмани / планирани расположиви слотови по врсти услуге.</w:t>
      </w:r>
    </w:p>
    <w:p w14:paraId="6B5E82C7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37" w:name="_eqx795yyzbo7" w:colFirst="0" w:colLast="0"/>
      <w:bookmarkEnd w:id="37"/>
      <w:r>
        <w:rPr>
          <w:b/>
          <w:bCs/>
          <w:color w:val="000000"/>
          <w:sz w:val="22"/>
          <w:szCs w:val="22"/>
        </w:rPr>
        <w:t xml:space="preserve">6.1.2. Секундарни </w:t>
      </w:r>
      <w:r>
        <w:rPr>
          <w:b/>
          <w:bCs/>
          <w:i/>
          <w:color w:val="000000"/>
          <w:sz w:val="22"/>
          <w:szCs w:val="22"/>
        </w:rPr>
        <w:t>KPI</w:t>
      </w:r>
    </w:p>
    <w:p w14:paraId="23CC01A2">
      <w:pPr>
        <w:pStyle w:val="3"/>
        <w:numPr>
          <w:ilvl w:val="0"/>
          <w:numId w:val="26"/>
        </w:numPr>
        <w:spacing w:before="240" w:after="240"/>
        <w:jc w:val="both"/>
      </w:pPr>
      <w:r>
        <w:t>Просечна дужина боравка (</w:t>
      </w:r>
      <w:r>
        <w:rPr>
          <w:i/>
        </w:rPr>
        <w:t>ALOS</w:t>
      </w:r>
      <w:r>
        <w:t xml:space="preserve">); просечна цена по особи/ноћи; </w:t>
      </w:r>
      <w:r>
        <w:rPr>
          <w:i/>
        </w:rPr>
        <w:t>NPS</w:t>
      </w:r>
      <w:r>
        <w:t>/</w:t>
      </w:r>
      <w:r>
        <w:rPr>
          <w:i/>
        </w:rPr>
        <w:t>CSAT</w:t>
      </w:r>
      <w:r>
        <w:t>; конверзија сајт/</w:t>
      </w:r>
      <w:r>
        <w:rPr>
          <w:i/>
        </w:rPr>
        <w:t>booking</w:t>
      </w:r>
      <w:r>
        <w:t xml:space="preserve">; удео </w:t>
      </w:r>
      <w:r>
        <w:rPr>
          <w:i/>
        </w:rPr>
        <w:t>premium</w:t>
      </w:r>
      <w:r>
        <w:t xml:space="preserve"> соба; број активних Б2Б уговора; принос по пакету; удео поновљених долазака; однос терапија по пакету.</w:t>
      </w:r>
    </w:p>
    <w:p w14:paraId="646768B5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38" w:name="_pfyne9vtl9n0" w:colFirst="0" w:colLast="0"/>
      <w:bookmarkEnd w:id="38"/>
      <w:r>
        <w:rPr>
          <w:b/>
          <w:bCs/>
          <w:color w:val="000000"/>
          <w:sz w:val="22"/>
          <w:szCs w:val="22"/>
        </w:rPr>
        <w:t>6.1.3. Референтни прорачуни</w:t>
      </w:r>
    </w:p>
    <w:p w14:paraId="6E28E52E">
      <w:pPr>
        <w:pStyle w:val="3"/>
        <w:numPr>
          <w:ilvl w:val="0"/>
          <w:numId w:val="27"/>
        </w:numPr>
        <w:spacing w:before="240"/>
        <w:jc w:val="both"/>
      </w:pPr>
      <w:r>
        <w:rPr>
          <w:b/>
          <w:bCs/>
        </w:rPr>
        <w:t xml:space="preserve">Теоријски максимум </w:t>
      </w:r>
      <w:r>
        <w:rPr>
          <w:b/>
          <w:bCs/>
          <w:i/>
        </w:rPr>
        <w:t>BO</w:t>
      </w:r>
      <w:r>
        <w:rPr>
          <w:b/>
          <w:bCs/>
        </w:rPr>
        <w:t>-дана</w:t>
      </w:r>
      <w:r>
        <w:t>: 40.150 (110×365).</w:t>
      </w:r>
    </w:p>
    <w:p w14:paraId="31ED1876">
      <w:pPr>
        <w:pStyle w:val="3"/>
        <w:numPr>
          <w:ilvl w:val="0"/>
          <w:numId w:val="27"/>
        </w:numPr>
        <w:spacing w:after="240"/>
        <w:jc w:val="both"/>
      </w:pPr>
      <w:r>
        <w:rPr>
          <w:b/>
          <w:bCs/>
        </w:rPr>
        <w:t>Планирана путања</w:t>
      </w:r>
      <w:r>
        <w:t>: 22к → 26к → 29к → 32к (2026→2029) уз фазно ширење доступности и цена.</w:t>
      </w:r>
    </w:p>
    <w:p w14:paraId="6FD03F5B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39" w:name="_phhgxu8l71b1" w:colFirst="0" w:colLast="0"/>
      <w:bookmarkEnd w:id="39"/>
      <w:r>
        <w:br w:type="page"/>
      </w:r>
    </w:p>
    <w:p w14:paraId="231B73C1">
      <w:pPr>
        <w:pStyle w:val="4"/>
        <w:keepNext w:val="0"/>
        <w:keepLines w:val="0"/>
        <w:spacing w:before="280"/>
        <w:jc w:val="both"/>
        <w:rPr>
          <w:b/>
          <w:bCs/>
        </w:rPr>
      </w:pPr>
      <w:bookmarkStart w:id="40" w:name="_fbg54tbuqzuz" w:colFirst="0" w:colLast="0"/>
      <w:bookmarkEnd w:id="40"/>
      <w:r>
        <w:rPr>
          <w:b/>
          <w:bCs/>
        </w:rPr>
        <w:t>7. Ценовна политика и управљање приходима</w:t>
      </w:r>
    </w:p>
    <w:p w14:paraId="6F3489F4">
      <w:pPr>
        <w:pStyle w:val="3"/>
        <w:jc w:val="both"/>
      </w:pPr>
      <w:r>
        <w:t xml:space="preserve">Ценовна политика Специјалне болнице Сокобања биће заснована на принципима </w:t>
      </w:r>
      <w:r>
        <w:rPr>
          <w:i/>
        </w:rPr>
        <w:t>revenue</w:t>
      </w:r>
      <w:r>
        <w:t xml:space="preserve"> манагемента (управљање приходима), уз јасно дефинисане сезонске тарифе и диференциране цене по сегментима. У главној сезони (април–септембар) цене ће бити формиране на основу пуне попуњености и максимализације прихода, док ће у ниској сезони (октобар–март) акценат бити на попуњености кроз промотивне пакете и партнерске аранжмане. Диференцијација између „</w:t>
      </w:r>
      <w:r>
        <w:rPr>
          <w:i/>
        </w:rPr>
        <w:t>standard</w:t>
      </w:r>
      <w:r>
        <w:t>“ и „</w:t>
      </w:r>
      <w:r>
        <w:rPr>
          <w:i/>
        </w:rPr>
        <w:t>premium</w:t>
      </w:r>
      <w:r>
        <w:t>“ соба омогућиће циљање различитих сегмената корисника и стварање додатне вредности.</w:t>
      </w:r>
    </w:p>
    <w:p w14:paraId="4D9D437C">
      <w:pPr>
        <w:pStyle w:val="3"/>
        <w:jc w:val="both"/>
      </w:pPr>
    </w:p>
    <w:p w14:paraId="2532D0FA">
      <w:pPr>
        <w:pStyle w:val="3"/>
        <w:jc w:val="both"/>
      </w:pPr>
      <w:r>
        <w:rPr>
          <w:i/>
        </w:rPr>
        <w:t>Revenue</w:t>
      </w:r>
      <w:r>
        <w:t xml:space="preserve"> </w:t>
      </w:r>
      <w:r>
        <w:rPr>
          <w:i/>
        </w:rPr>
        <w:t>management</w:t>
      </w:r>
      <w:r>
        <w:t xml:space="preserve"> ће подразумевати кварталну анализу перформанси, са праћењем односа између цена, попуњености и прихода по болничком дану. Биће уведени алати за праћење и предикцију потражње, као и флексибилне промотивне акције у периодима смањене тражње. Тиме ће се обезбедити оптимална равнотежа између доступности и профитабилности, чиме болница излази из оквира статичног ценовника и прелази на динамички систем управљања приходима.</w:t>
      </w:r>
    </w:p>
    <w:p w14:paraId="2987D400">
      <w:pPr>
        <w:pStyle w:val="3"/>
        <w:numPr>
          <w:ilvl w:val="0"/>
          <w:numId w:val="28"/>
        </w:numPr>
        <w:spacing w:before="240"/>
        <w:jc w:val="both"/>
      </w:pPr>
      <w:r>
        <w:t>Сезонске стопе (висока/ниска) + „</w:t>
      </w:r>
      <w:r>
        <w:rPr>
          <w:i/>
        </w:rPr>
        <w:t>shoulder</w:t>
      </w:r>
      <w:r>
        <w:t>“ термини (март, октобар) са стимулативним ценама.</w:t>
      </w:r>
    </w:p>
    <w:p w14:paraId="5ADCBAEC">
      <w:pPr>
        <w:pStyle w:val="3"/>
        <w:numPr>
          <w:ilvl w:val="0"/>
          <w:numId w:val="28"/>
        </w:numPr>
        <w:jc w:val="both"/>
      </w:pPr>
      <w:r>
        <w:t xml:space="preserve">Минимал </w:t>
      </w:r>
      <w:r>
        <w:rPr>
          <w:i/>
        </w:rPr>
        <w:t>stay</w:t>
      </w:r>
      <w:r>
        <w:t>: 2–3 ноћи (</w:t>
      </w:r>
      <w:r>
        <w:rPr>
          <w:i/>
        </w:rPr>
        <w:t>wellness</w:t>
      </w:r>
      <w:r>
        <w:t>), 7/10/14 дана (рехаб), уз попусте за дуже боравке.</w:t>
      </w:r>
    </w:p>
    <w:p w14:paraId="60FBCF0B">
      <w:pPr>
        <w:pStyle w:val="3"/>
        <w:numPr>
          <w:ilvl w:val="0"/>
          <w:numId w:val="28"/>
        </w:numPr>
        <w:jc w:val="both"/>
      </w:pPr>
      <w:r>
        <w:rPr>
          <w:i/>
        </w:rPr>
        <w:t>Premium</w:t>
      </w:r>
      <w:r>
        <w:t xml:space="preserve"> диференцијација: +10–25% на супериор/</w:t>
      </w:r>
      <w:r>
        <w:rPr>
          <w:i/>
        </w:rPr>
        <w:t>premium</w:t>
      </w:r>
      <w:r>
        <w:t xml:space="preserve"> собе; додатне услуге (лате цхецкоут, додатни третмани).</w:t>
      </w:r>
    </w:p>
    <w:p w14:paraId="3742B4A2">
      <w:pPr>
        <w:pStyle w:val="3"/>
        <w:numPr>
          <w:ilvl w:val="0"/>
          <w:numId w:val="28"/>
        </w:numPr>
        <w:jc w:val="both"/>
      </w:pPr>
      <w:r>
        <w:rPr>
          <w:i/>
        </w:rPr>
        <w:t>Yield</w:t>
      </w:r>
      <w:r>
        <w:t xml:space="preserve"> правила: аутоматско подизање цена при заузетости &gt;80%; „</w:t>
      </w:r>
      <w:r>
        <w:rPr>
          <w:i/>
        </w:rPr>
        <w:t>fence</w:t>
      </w:r>
      <w:r>
        <w:t xml:space="preserve">“ услови за попусте (рани </w:t>
      </w:r>
      <w:r>
        <w:rPr>
          <w:i/>
        </w:rPr>
        <w:t>booking</w:t>
      </w:r>
      <w:r>
        <w:t xml:space="preserve">, </w:t>
      </w:r>
      <w:r>
        <w:rPr>
          <w:i/>
        </w:rPr>
        <w:t>non</w:t>
      </w:r>
      <w:r>
        <w:t>-</w:t>
      </w:r>
      <w:r>
        <w:rPr>
          <w:i/>
        </w:rPr>
        <w:t>refundable</w:t>
      </w:r>
      <w:r>
        <w:t xml:space="preserve">, </w:t>
      </w:r>
      <w:r>
        <w:rPr>
          <w:i/>
        </w:rPr>
        <w:t>midweek</w:t>
      </w:r>
      <w:r>
        <w:t>).</w:t>
      </w:r>
    </w:p>
    <w:p w14:paraId="15188A50">
      <w:pPr>
        <w:pStyle w:val="3"/>
        <w:numPr>
          <w:ilvl w:val="0"/>
          <w:numId w:val="28"/>
        </w:numPr>
        <w:spacing w:after="240"/>
        <w:jc w:val="both"/>
      </w:pPr>
      <w:r>
        <w:t xml:space="preserve">Б2Б уговори: ценовници по волумену; годишњи </w:t>
      </w:r>
      <w:r>
        <w:rPr>
          <w:i/>
        </w:rPr>
        <w:t>review</w:t>
      </w:r>
      <w:r>
        <w:t xml:space="preserve">; циљни микс Б2Б ≤30% укупних комерцијалних ноћења (ради очувања </w:t>
      </w:r>
      <w:r>
        <w:rPr>
          <w:i/>
        </w:rPr>
        <w:t>RevPBD</w:t>
      </w:r>
      <w:r>
        <w:t>).</w:t>
      </w:r>
      <w:r>
        <w:br w:type="textWrapping"/>
      </w:r>
    </w:p>
    <w:p w14:paraId="697EE245">
      <w:pPr>
        <w:pStyle w:val="5"/>
        <w:keepNext w:val="0"/>
        <w:keepLines w:val="0"/>
        <w:spacing w:before="280"/>
        <w:jc w:val="both"/>
        <w:rPr>
          <w:b/>
          <w:bCs/>
          <w:color w:val="auto"/>
          <w:sz w:val="32"/>
          <w:szCs w:val="32"/>
        </w:rPr>
      </w:pPr>
      <w:bookmarkStart w:id="41" w:name="_pilxnbc20olg" w:colFirst="0" w:colLast="0"/>
      <w:bookmarkEnd w:id="41"/>
      <w:bookmarkStart w:id="42" w:name="_xe5a2kr7vowc" w:colFirst="0" w:colLast="0"/>
      <w:bookmarkEnd w:id="42"/>
      <w:r>
        <w:rPr>
          <w:b/>
          <w:bCs/>
          <w:color w:val="auto"/>
          <w:sz w:val="32"/>
          <w:szCs w:val="32"/>
        </w:rPr>
        <w:t>8. Производни портфељ (пакети)</w:t>
      </w:r>
    </w:p>
    <w:p w14:paraId="43BB6EA5">
      <w:pPr>
        <w:pStyle w:val="3"/>
        <w:jc w:val="both"/>
      </w:pPr>
      <w:r>
        <w:t>Развој разноврсних пакета представља кључну компоненту стратегије за повећање атрактивности и искоришћености капацитета. Портфељ пакета биће структуриран тако да покрије различите потребе и сегменте корисника:</w:t>
      </w:r>
    </w:p>
    <w:p w14:paraId="08909A45">
      <w:pPr>
        <w:pStyle w:val="3"/>
        <w:jc w:val="both"/>
      </w:pPr>
    </w:p>
    <w:p w14:paraId="2E7AF2E1">
      <w:pPr>
        <w:pStyle w:val="3"/>
        <w:jc w:val="both"/>
      </w:pPr>
      <w:r>
        <w:t>Рехабилитациони пакети: стандардизовани боравци у трајању од 7, 10 и 14 дана, намењени постоперативним пацијентима, особама са хроничним обољењима и корисницима са потребом за интензивним терапијама.</w:t>
      </w:r>
    </w:p>
    <w:p w14:paraId="3DC462DA">
      <w:pPr>
        <w:pStyle w:val="3"/>
        <w:jc w:val="both"/>
      </w:pPr>
    </w:p>
    <w:p w14:paraId="3211191E">
      <w:pPr>
        <w:pStyle w:val="3"/>
        <w:jc w:val="both"/>
      </w:pPr>
      <w:r>
        <w:t>Пост-ортопедски програми: специјализовани програми за пацијенте након ортопедских захвата, са фокусом на опоравак функционалности и реинтеграцију.</w:t>
      </w:r>
    </w:p>
    <w:p w14:paraId="54FD5828">
      <w:pPr>
        <w:pStyle w:val="3"/>
        <w:jc w:val="both"/>
      </w:pPr>
    </w:p>
    <w:p w14:paraId="162BE295">
      <w:pPr>
        <w:pStyle w:val="3"/>
        <w:jc w:val="both"/>
      </w:pPr>
      <w:r>
        <w:rPr>
          <w:i/>
        </w:rPr>
        <w:t>Wellness</w:t>
      </w:r>
      <w:r>
        <w:t xml:space="preserve"> и превентивни пакети: викенд и кратки боравци за кориснике заинтересоване за превенцију, релаксацију и ревитализацију, укључујући спа и инхалационе третмане.</w:t>
      </w:r>
    </w:p>
    <w:p w14:paraId="2CA01EC2">
      <w:pPr>
        <w:pStyle w:val="3"/>
        <w:jc w:val="both"/>
      </w:pPr>
    </w:p>
    <w:p w14:paraId="15C8CDE6">
      <w:pPr>
        <w:pStyle w:val="3"/>
        <w:jc w:val="both"/>
      </w:pPr>
      <w:r>
        <w:t>Корпоративни програми: пакети за компаније и осигуравајуће куће, са нагласком на превенцији, рехабилитацији и смањењу боловања запослених.</w:t>
      </w:r>
    </w:p>
    <w:p w14:paraId="538FA6BA">
      <w:pPr>
        <w:pStyle w:val="3"/>
        <w:jc w:val="both"/>
      </w:pPr>
    </w:p>
    <w:p w14:paraId="48FC13EC">
      <w:pPr>
        <w:pStyle w:val="3"/>
        <w:jc w:val="both"/>
      </w:pPr>
      <w:r>
        <w:t xml:space="preserve">Специјални промотивни пакети: тематски аранжмани у сарадњи са Туристичком организацијом Сокобања, попут „Бањски викенд“, „Дисање и </w:t>
      </w:r>
      <w:r>
        <w:rPr>
          <w:i/>
        </w:rPr>
        <w:t>wellness</w:t>
      </w:r>
      <w:r>
        <w:t>“ или „Зимска ревитализација“.</w:t>
      </w:r>
    </w:p>
    <w:p w14:paraId="09952339">
      <w:pPr>
        <w:pStyle w:val="3"/>
        <w:jc w:val="both"/>
      </w:pPr>
    </w:p>
    <w:p w14:paraId="3974F70F">
      <w:pPr>
        <w:pStyle w:val="3"/>
        <w:jc w:val="both"/>
      </w:pPr>
      <w:r>
        <w:t>Сваки од ових пакета биће праћен јасно дефинисаним циљним групама, ценовним рангом и комуникационим планом. Увођење портфеља производа у различитим облицима доприноси диверсификацији извора прихода, смањењу сезоналности и јачању позиције Специјалне болнице Сокобања на тржишту здравственог туризма.</w:t>
      </w:r>
    </w:p>
    <w:p w14:paraId="5736BA83">
      <w:pPr>
        <w:pStyle w:val="3"/>
        <w:numPr>
          <w:ilvl w:val="0"/>
          <w:numId w:val="29"/>
        </w:numPr>
        <w:spacing w:before="240"/>
        <w:jc w:val="both"/>
      </w:pPr>
      <w:r>
        <w:rPr>
          <w:b/>
          <w:bCs/>
        </w:rPr>
        <w:t>Респираторни рехабилитациони</w:t>
      </w:r>
      <w:r>
        <w:t xml:space="preserve"> (7/10/14): консултације пулмолога, инхалације, физикална, едукација; опције са боравком чланова породице.</w:t>
      </w:r>
    </w:p>
    <w:p w14:paraId="699E190A">
      <w:pPr>
        <w:pStyle w:val="3"/>
        <w:numPr>
          <w:ilvl w:val="0"/>
          <w:numId w:val="29"/>
        </w:numPr>
        <w:jc w:val="both"/>
      </w:pPr>
      <w:r>
        <w:rPr>
          <w:b/>
          <w:bCs/>
        </w:rPr>
        <w:t>Пост-ортопедски</w:t>
      </w:r>
      <w:r>
        <w:t xml:space="preserve"> (10/14): кинезитерапија + физикална + надзор; програм повратка функционалности.</w:t>
      </w:r>
    </w:p>
    <w:p w14:paraId="71339296">
      <w:pPr>
        <w:pStyle w:val="3"/>
        <w:numPr>
          <w:ilvl w:val="0"/>
          <w:numId w:val="29"/>
        </w:numPr>
        <w:jc w:val="both"/>
      </w:pPr>
      <w:r>
        <w:rPr>
          <w:b/>
          <w:bCs/>
        </w:rPr>
        <w:t>Корпоративни превентивни</w:t>
      </w:r>
      <w:r>
        <w:t xml:space="preserve"> (3/5/7): цхецк-уп + антистрес + терапеутске процедуре + едукативне радионице.</w:t>
      </w:r>
    </w:p>
    <w:p w14:paraId="628B6B4B">
      <w:pPr>
        <w:pStyle w:val="3"/>
        <w:numPr>
          <w:ilvl w:val="0"/>
          <w:numId w:val="29"/>
        </w:numPr>
        <w:jc w:val="both"/>
      </w:pPr>
      <w:r>
        <w:rPr>
          <w:b/>
          <w:bCs/>
          <w:i/>
        </w:rPr>
        <w:t>Wellness</w:t>
      </w:r>
      <w:r>
        <w:rPr>
          <w:b/>
          <w:bCs/>
        </w:rPr>
        <w:t>/</w:t>
      </w:r>
      <w:r>
        <w:rPr>
          <w:b/>
          <w:bCs/>
          <w:i/>
        </w:rPr>
        <w:t>relax</w:t>
      </w:r>
      <w:r>
        <w:t xml:space="preserve"> (2/3/5): Амам + базени/каде + „стазе здравља“ + масаже; викенд и „</w:t>
      </w:r>
      <w:r>
        <w:rPr>
          <w:i/>
        </w:rPr>
        <w:t>midweek</w:t>
      </w:r>
      <w:r>
        <w:t>“ варијанте.</w:t>
      </w:r>
    </w:p>
    <w:p w14:paraId="199FFE2E">
      <w:pPr>
        <w:pStyle w:val="3"/>
        <w:numPr>
          <w:ilvl w:val="0"/>
          <w:numId w:val="29"/>
        </w:numPr>
        <w:spacing w:after="240"/>
        <w:jc w:val="both"/>
      </w:pPr>
      <w:r>
        <w:rPr>
          <w:b/>
          <w:bCs/>
        </w:rPr>
        <w:t>Породични/ сениорски</w:t>
      </w:r>
      <w:r>
        <w:t>: благи ритмови терапија, садржаји за пратиоце, сигурне стазе.</w:t>
      </w:r>
    </w:p>
    <w:p w14:paraId="29E6EDB3">
      <w:pPr>
        <w:pStyle w:val="3"/>
        <w:spacing w:before="240" w:after="240"/>
        <w:jc w:val="both"/>
      </w:pPr>
    </w:p>
    <w:p w14:paraId="1B39AE57">
      <w:pPr>
        <w:pStyle w:val="3"/>
        <w:spacing w:before="240" w:after="240"/>
        <w:jc w:val="both"/>
        <w:rPr>
          <w:sz w:val="36"/>
          <w:szCs w:val="36"/>
        </w:rPr>
      </w:pPr>
      <w:bookmarkStart w:id="43" w:name="_mbhwouo22ijw" w:colFirst="0" w:colLast="0"/>
      <w:bookmarkEnd w:id="43"/>
      <w:r>
        <w:rPr>
          <w:b/>
          <w:bCs/>
          <w:sz w:val="36"/>
          <w:szCs w:val="36"/>
        </w:rPr>
        <w:t>9. Инфраструктурни развој и инвестиције</w:t>
      </w:r>
    </w:p>
    <w:p w14:paraId="0EE20FEF">
      <w:pPr>
        <w:pStyle w:val="3"/>
        <w:spacing w:before="240" w:after="240"/>
        <w:jc w:val="both"/>
      </w:pPr>
      <w:r>
        <w:t xml:space="preserve">Инфраструктурни развој представља основни предуслов за остваривање стратешких циљева у области здравственог туризма. Интервенције су усмерене на обнову, адаптацију и модернизацију кључних објеката и терапијских јединица, као и на подизање енергетских, безбедносних и технолошких стандарда. Основни принципи којима се руководимо су: безбедност пацијената и гостију, стандардизован квалитет услуге, целогодишња оперативност (365), ефикасност трошкова и мерен утицај сваке инвестиције на комерцијалне </w:t>
      </w:r>
      <w:r>
        <w:rPr>
          <w:i/>
        </w:rPr>
        <w:t>KPI</w:t>
      </w:r>
      <w:r>
        <w:t xml:space="preserve"> (попуњеност, </w:t>
      </w:r>
      <w:r>
        <w:rPr>
          <w:i/>
        </w:rPr>
        <w:t>BO</w:t>
      </w:r>
      <w:r>
        <w:t xml:space="preserve">-дани, </w:t>
      </w:r>
      <w:r>
        <w:rPr>
          <w:i/>
        </w:rPr>
        <w:t>RevPBD</w:t>
      </w:r>
      <w:r>
        <w:t>).</w:t>
      </w:r>
    </w:p>
    <w:p w14:paraId="1189EC83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44" w:name="_p8hhbl4usol" w:colFirst="0" w:colLast="0"/>
      <w:bookmarkEnd w:id="44"/>
      <w:r>
        <w:rPr>
          <w:b/>
          <w:bCs/>
        </w:rPr>
        <w:t>9.1. Обухват и приоритети инвестиција</w:t>
      </w:r>
    </w:p>
    <w:p w14:paraId="73432944">
      <w:pPr>
        <w:pStyle w:val="3"/>
        <w:spacing w:before="240" w:after="240"/>
        <w:jc w:val="both"/>
      </w:pPr>
      <w:r>
        <w:rPr>
          <w:b/>
          <w:bCs/>
        </w:rPr>
        <w:t>Стари Завод (Сокоград)</w:t>
      </w:r>
      <w:r>
        <w:t xml:space="preserve"> – потпуна реконструкција са циљем враћања свих 110 комерцијалних постеља у функцију и увођења категорија соба „</w:t>
      </w:r>
      <w:r>
        <w:rPr>
          <w:i/>
        </w:rPr>
        <w:t>standard</w:t>
      </w:r>
      <w:r>
        <w:t>“ и „</w:t>
      </w:r>
      <w:r>
        <w:rPr>
          <w:i/>
        </w:rPr>
        <w:t>premium</w:t>
      </w:r>
      <w:r>
        <w:t>“. Обухват укључује: замену инсталација (електро, водовод, канализација), нову термотехнику (грејање/хладјење), санитарне чворове, подове и зидне облоге, противпожарне системе, изолацију, столарију и ентеријерску опрему.</w:t>
      </w:r>
    </w:p>
    <w:p w14:paraId="72930113">
      <w:pPr>
        <w:pStyle w:val="3"/>
        <w:spacing w:before="240" w:after="240"/>
        <w:jc w:val="both"/>
      </w:pPr>
      <w:r>
        <w:rPr>
          <w:b/>
          <w:bCs/>
        </w:rPr>
        <w:t>Нови Завод (додатни сегменти)</w:t>
      </w:r>
      <w:r>
        <w:t xml:space="preserve"> – циљане модернизације које директно утичу на комерцијалну понуду: уређење спратова са највећим уделом комерцијалних соба, адаптација заједничких простора (</w:t>
      </w:r>
      <w:r>
        <w:rPr>
          <w:i/>
        </w:rPr>
        <w:t>lobby</w:t>
      </w:r>
      <w:r>
        <w:t>, рецепција, чекаонице), као и унапређења приступачности (лифтови, рампе, рукохвати) у складу са принципима универзалног дизајна.</w:t>
      </w:r>
    </w:p>
    <w:p w14:paraId="0C9D1AFC">
      <w:pPr>
        <w:pStyle w:val="3"/>
        <w:spacing w:before="240" w:after="240"/>
        <w:jc w:val="both"/>
      </w:pPr>
      <w:r>
        <w:rPr>
          <w:b/>
          <w:bCs/>
        </w:rPr>
        <w:t>Терапијске јединице</w:t>
      </w:r>
      <w:r>
        <w:t xml:space="preserve"> – модернизација инхалаторијума и просторија физикалне медицине; оптимизација токова пацијената (рецепција–тријажа–терапија–одмор), обнављање базенских и кадних капацитета, увођење дигиталног распореда третмана и евиденције (ради мерења искоришћености слотова и смањења чекања).</w:t>
      </w:r>
    </w:p>
    <w:p w14:paraId="0220EA60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45" w:name="_cytkmv9efzt2" w:colFirst="0" w:colLast="0"/>
      <w:bookmarkEnd w:id="45"/>
      <w:r>
        <w:rPr>
          <w:b/>
          <w:bCs/>
        </w:rPr>
        <w:t>9.2. Функционална и архитектонска решења</w:t>
      </w:r>
    </w:p>
    <w:p w14:paraId="43CC1A86">
      <w:pPr>
        <w:pStyle w:val="3"/>
        <w:spacing w:before="240" w:after="240"/>
        <w:jc w:val="both"/>
      </w:pPr>
      <w:r>
        <w:rPr>
          <w:b/>
          <w:bCs/>
        </w:rPr>
        <w:t>Смештај</w:t>
      </w:r>
      <w:r>
        <w:t>: стандардизација соба по матрици садржаја (квадратура, кревети, санитарије, климатизација, расвета, сигнализација, ентеријер). „</w:t>
      </w:r>
      <w:r>
        <w:rPr>
          <w:i/>
        </w:rPr>
        <w:t>Premium</w:t>
      </w:r>
      <w:r>
        <w:t>“ собе добијају додатне погодности: квалитетнији лежај и текстил, радни кутак, фрижидер, сеф, побољшану акустику и визуелне елементе (поглед, декор).</w:t>
      </w:r>
    </w:p>
    <w:p w14:paraId="0822629F">
      <w:pPr>
        <w:pStyle w:val="3"/>
        <w:spacing w:before="240" w:after="240"/>
        <w:jc w:val="both"/>
      </w:pPr>
      <w:r>
        <w:rPr>
          <w:b/>
          <w:bCs/>
        </w:rPr>
        <w:t>Заједнички простори</w:t>
      </w:r>
      <w:r>
        <w:t xml:space="preserve">: рецепција и </w:t>
      </w:r>
      <w:r>
        <w:rPr>
          <w:i/>
        </w:rPr>
        <w:t>lobby</w:t>
      </w:r>
      <w:r>
        <w:t xml:space="preserve"> са јасно означеним токовима, дигиталним информативним дисплејима и седењем прилагођеним различитим категоријама гостију; прилагођени пролази и рукохвати; стандарди сигнализације (пиктограми, двојезичне табле) за лакшу навигацију.</w:t>
      </w:r>
    </w:p>
    <w:p w14:paraId="2A2E335F">
      <w:pPr>
        <w:pStyle w:val="3"/>
        <w:spacing w:before="240" w:after="240"/>
        <w:jc w:val="both"/>
      </w:pPr>
      <w:r>
        <w:rPr>
          <w:b/>
          <w:bCs/>
        </w:rPr>
        <w:t>Хигијена и безбедност</w:t>
      </w:r>
      <w:r>
        <w:t>: материјали отпорни на влагу и хемикалије, протоколи чишћења, вентилација са филтрацијом у просторима већег ризика, одвојени токови прљавог и чистог веша, адекватна складишта потрошног материјала и медицинског отпада.</w:t>
      </w:r>
    </w:p>
    <w:p w14:paraId="49759389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46" w:name="_7k66vz1mnz0e" w:colFirst="0" w:colLast="0"/>
      <w:bookmarkEnd w:id="46"/>
      <w:r>
        <w:rPr>
          <w:b/>
          <w:bCs/>
        </w:rPr>
        <w:t>9.3. Енергетска ефикасност и одрживост</w:t>
      </w:r>
    </w:p>
    <w:p w14:paraId="3EA9C84F">
      <w:pPr>
        <w:pStyle w:val="3"/>
        <w:spacing w:before="240" w:after="240"/>
        <w:jc w:val="both"/>
      </w:pPr>
      <w:r>
        <w:t xml:space="preserve">У све пројекте уграђују се мере енергетске ефикасности: топлотна изолација фасада и крова, висококвалитетна столарија, </w:t>
      </w:r>
      <w:r>
        <w:rPr>
          <w:i/>
        </w:rPr>
        <w:t>LED</w:t>
      </w:r>
      <w:r>
        <w:t xml:space="preserve"> расвета са сензорима, високоеﬁкасни котлови или топлотне пумпе, баланс вентилације са рекуперацијом топлоте, као и систем </w:t>
      </w:r>
      <w:r>
        <w:rPr>
          <w:i/>
        </w:rPr>
        <w:t>BMS</w:t>
      </w:r>
      <w:r>
        <w:t xml:space="preserve"> (</w:t>
      </w:r>
      <w:r>
        <w:rPr>
          <w:i/>
        </w:rPr>
        <w:t>Building</w:t>
      </w:r>
      <w:r>
        <w:t xml:space="preserve"> </w:t>
      </w:r>
      <w:r>
        <w:rPr>
          <w:i/>
        </w:rPr>
        <w:t>Management</w:t>
      </w:r>
      <w:r>
        <w:t xml:space="preserve"> </w:t>
      </w:r>
      <w:r>
        <w:rPr>
          <w:i/>
        </w:rPr>
        <w:t>System</w:t>
      </w:r>
      <w:r>
        <w:t xml:space="preserve">) за надзор потрошње. Циљ је да се смањи потрошња енергената и повећа комфор (температура, квалитет ваздуха), уз мерљиви утицај на </w:t>
      </w:r>
      <w:r>
        <w:rPr>
          <w:i/>
        </w:rPr>
        <w:t>OpEx</w:t>
      </w:r>
      <w:r>
        <w:t xml:space="preserve"> (оперативни трошкове).</w:t>
      </w:r>
    </w:p>
    <w:p w14:paraId="12765ADD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47" w:name="_7bf79az20hmp" w:colFirst="0" w:colLast="0"/>
      <w:bookmarkEnd w:id="47"/>
      <w:r>
        <w:rPr>
          <w:b/>
          <w:bCs/>
        </w:rPr>
        <w:t xml:space="preserve">9.4. </w:t>
      </w:r>
      <w:r>
        <w:rPr>
          <w:b/>
          <w:bCs/>
          <w:i/>
        </w:rPr>
        <w:t>IT</w:t>
      </w:r>
      <w:r>
        <w:rPr>
          <w:b/>
          <w:bCs/>
        </w:rPr>
        <w:t xml:space="preserve"> и нисконапонске инсталације</w:t>
      </w:r>
    </w:p>
    <w:p w14:paraId="618893CB">
      <w:pPr>
        <w:pStyle w:val="3"/>
        <w:spacing w:before="240" w:after="240"/>
        <w:jc w:val="both"/>
      </w:pPr>
      <w:r>
        <w:t>Мрежна инфраструктура (</w:t>
      </w:r>
      <w:r>
        <w:rPr>
          <w:i/>
        </w:rPr>
        <w:t>Wi</w:t>
      </w:r>
      <w:r>
        <w:t xml:space="preserve">‑Фи у свим собама и заједничким просторима), </w:t>
      </w:r>
      <w:r>
        <w:rPr>
          <w:i/>
        </w:rPr>
        <w:t>IPTV</w:t>
      </w:r>
      <w:r>
        <w:t xml:space="preserve">, нурсе-цалл систем, видео надзор у заједничким зонама, </w:t>
      </w:r>
      <w:r>
        <w:rPr>
          <w:i/>
        </w:rPr>
        <w:t>SOS</w:t>
      </w:r>
      <w:r>
        <w:t xml:space="preserve"> позиви у купатилима, противпожарни аларм, контрола приступа и дигитална сигнализација. Интеграција са </w:t>
      </w:r>
      <w:r>
        <w:rPr>
          <w:i/>
        </w:rPr>
        <w:t>BIS</w:t>
      </w:r>
      <w:r>
        <w:t>/</w:t>
      </w:r>
      <w:r>
        <w:rPr>
          <w:i/>
        </w:rPr>
        <w:t>CRM</w:t>
      </w:r>
      <w:r>
        <w:t>/</w:t>
      </w:r>
      <w:r>
        <w:rPr>
          <w:i/>
        </w:rPr>
        <w:t>booking</w:t>
      </w:r>
      <w:r>
        <w:t xml:space="preserve"> системима обезбеђује праћење расположивости смештаја и терапија у реалном времену.</w:t>
      </w:r>
    </w:p>
    <w:p w14:paraId="4F9AC5D6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48" w:name="_x2xg0hkeuadf" w:colFirst="0" w:colLast="0"/>
      <w:bookmarkEnd w:id="48"/>
      <w:r>
        <w:rPr>
          <w:b/>
          <w:bCs/>
        </w:rPr>
        <w:t>9.5. Фазе и временски распоред (2026–2029)</w:t>
      </w:r>
    </w:p>
    <w:p w14:paraId="7FA47C94">
      <w:pPr>
        <w:pStyle w:val="3"/>
        <w:spacing w:before="240" w:after="240"/>
        <w:jc w:val="both"/>
      </w:pPr>
      <w:r>
        <w:rPr>
          <w:b/>
          <w:bCs/>
        </w:rPr>
        <w:t>Фаза И, 2026</w:t>
      </w:r>
      <w:r>
        <w:t>: пројектовање и тендери; почетак радова на приоритетним крилима Старог Завода; минималне „</w:t>
      </w:r>
      <w:r>
        <w:rPr>
          <w:i/>
        </w:rPr>
        <w:t>soft</w:t>
      </w:r>
      <w:r>
        <w:t xml:space="preserve"> </w:t>
      </w:r>
      <w:r>
        <w:rPr>
          <w:i/>
        </w:rPr>
        <w:t>touch</w:t>
      </w:r>
      <w:r>
        <w:t xml:space="preserve">“ интервенције у </w:t>
      </w:r>
      <w:r>
        <w:rPr>
          <w:i/>
        </w:rPr>
        <w:t>wellness</w:t>
      </w:r>
      <w:r>
        <w:t xml:space="preserve"> зонама (Амам) ради побољшања корисничког искуства; припрема набавке опреме за инхалаторијум/физикалну.</w:t>
      </w:r>
    </w:p>
    <w:p w14:paraId="644C31CD">
      <w:pPr>
        <w:pStyle w:val="3"/>
        <w:spacing w:before="240" w:after="240"/>
        <w:jc w:val="both"/>
      </w:pPr>
      <w:r>
        <w:rPr>
          <w:b/>
          <w:bCs/>
        </w:rPr>
        <w:t xml:space="preserve">Фаза </w:t>
      </w:r>
      <w:r>
        <w:rPr>
          <w:b/>
          <w:bCs/>
          <w:i/>
        </w:rPr>
        <w:t>II</w:t>
      </w:r>
      <w:r>
        <w:rPr>
          <w:b/>
          <w:bCs/>
        </w:rPr>
        <w:t>, 2027</w:t>
      </w:r>
      <w:r>
        <w:t xml:space="preserve">: завршетак кључне фазе Старог Завода (110/110 постеља у функцији); делимична модернизација инхалаторијума и физикалне; опремање </w:t>
      </w:r>
      <w:r>
        <w:rPr>
          <w:i/>
        </w:rPr>
        <w:t>premium</w:t>
      </w:r>
      <w:r>
        <w:t xml:space="preserve"> соба; уређење рецепције и заједничких простора; план за ширење радова на Нови Завод.</w:t>
      </w:r>
    </w:p>
    <w:p w14:paraId="5A1F5F03">
      <w:pPr>
        <w:pStyle w:val="3"/>
        <w:spacing w:before="240" w:after="240"/>
        <w:jc w:val="both"/>
      </w:pPr>
      <w:r>
        <w:rPr>
          <w:b/>
          <w:bCs/>
        </w:rPr>
        <w:t xml:space="preserve">Фаза </w:t>
      </w:r>
      <w:r>
        <w:rPr>
          <w:b/>
          <w:bCs/>
          <w:i/>
        </w:rPr>
        <w:t>III</w:t>
      </w:r>
      <w:r>
        <w:rPr>
          <w:b/>
          <w:bCs/>
        </w:rPr>
        <w:t>, 2028</w:t>
      </w:r>
      <w:r>
        <w:t xml:space="preserve">: радови у Новом Заводу/Сокограду (приоритетни спратови за комерцијалу); комплетирање модернизације инхалаторијума и физикалне; увођење </w:t>
      </w:r>
      <w:r>
        <w:rPr>
          <w:i/>
        </w:rPr>
        <w:t>BMS</w:t>
      </w:r>
      <w:r>
        <w:t>; завршна уређења.</w:t>
      </w:r>
    </w:p>
    <w:p w14:paraId="008CD241">
      <w:pPr>
        <w:pStyle w:val="3"/>
        <w:spacing w:before="240" w:after="240"/>
        <w:jc w:val="both"/>
      </w:pPr>
      <w:r>
        <w:rPr>
          <w:b/>
          <w:bCs/>
        </w:rPr>
        <w:t xml:space="preserve">Фаза </w:t>
      </w:r>
      <w:r>
        <w:rPr>
          <w:b/>
          <w:bCs/>
          <w:i/>
        </w:rPr>
        <w:t>IV</w:t>
      </w:r>
      <w:r>
        <w:rPr>
          <w:b/>
          <w:bCs/>
        </w:rPr>
        <w:t>, 2029</w:t>
      </w:r>
      <w:r>
        <w:t>: „</w:t>
      </w:r>
      <w:r>
        <w:rPr>
          <w:i/>
        </w:rPr>
        <w:t>fine</w:t>
      </w:r>
      <w:r>
        <w:t>‑</w:t>
      </w:r>
      <w:r>
        <w:rPr>
          <w:i/>
        </w:rPr>
        <w:t>tuning</w:t>
      </w:r>
      <w:r>
        <w:t>“ ентеријера; стандардизација превентивног одржавања; енергетска оптимизација; припрема следећег инвестиционог циклуса.</w:t>
      </w:r>
    </w:p>
    <w:p w14:paraId="356ACB20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49" w:name="_ivkx36w9u835" w:colFirst="0" w:colLast="0"/>
      <w:bookmarkEnd w:id="49"/>
      <w:r>
        <w:rPr>
          <w:b/>
          <w:bCs/>
        </w:rPr>
        <w:t>9.6. Управљање пројектима и набавкама</w:t>
      </w:r>
    </w:p>
    <w:p w14:paraId="5CFF575A">
      <w:pPr>
        <w:pStyle w:val="3"/>
        <w:spacing w:before="240" w:after="240"/>
        <w:jc w:val="both"/>
      </w:pPr>
      <w:r>
        <w:t>Успоставља се пројектна канцеларија (</w:t>
      </w:r>
      <w:r>
        <w:rPr>
          <w:i/>
        </w:rPr>
        <w:t>PMO</w:t>
      </w:r>
      <w:r>
        <w:t>) са јасним улогама: инвеститор (</w:t>
      </w:r>
      <w:r>
        <w:rPr>
          <w:i/>
        </w:rPr>
        <w:t>SB</w:t>
      </w:r>
      <w:r>
        <w:t xml:space="preserve">), инжењеринг надзор, извођачи, финансије/контролинг и правна служба. Набавке се спроводе транспарентно (отворени поступци, јасни критеријуми квалитета и рока), уз дефинисање </w:t>
      </w:r>
      <w:r>
        <w:rPr>
          <w:i/>
        </w:rPr>
        <w:t>SLA</w:t>
      </w:r>
      <w:r>
        <w:t>/</w:t>
      </w:r>
      <w:r>
        <w:rPr>
          <w:i/>
        </w:rPr>
        <w:t>KPI</w:t>
      </w:r>
      <w:r>
        <w:t xml:space="preserve"> за извођаче (поштовање рокова, квалитет завршне обраде, безбедност на раду). Редовне координације (недељне оперативне и месечне стееринг) обезбеђују правовремено решавање препрека.</w:t>
      </w:r>
    </w:p>
    <w:p w14:paraId="4AC6FCFF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50" w:name="_qfpg2x16mnz1" w:colFirst="0" w:colLast="0"/>
      <w:bookmarkEnd w:id="50"/>
      <w:r>
        <w:rPr>
          <w:b/>
          <w:bCs/>
        </w:rPr>
        <w:t>9.7. Финансирање и економика инвестиција</w:t>
      </w:r>
    </w:p>
    <w:p w14:paraId="4EE4B2A7">
      <w:pPr>
        <w:pStyle w:val="3"/>
        <w:spacing w:before="240" w:after="240"/>
        <w:jc w:val="both"/>
      </w:pPr>
      <w:r>
        <w:t xml:space="preserve">Модел финансирања комбинује: националне изворе (Министарство здравља, Министарство за јавна улагања), могуће међународне програме, као и сопствена средства из комерцијалног сегмента. Економика сваке фазе процењује се </w:t>
      </w:r>
      <w:r>
        <w:rPr>
          <w:i/>
        </w:rPr>
        <w:t>DCF</w:t>
      </w:r>
      <w:r>
        <w:t xml:space="preserve"> анализом (пројектовани раст </w:t>
      </w:r>
      <w:r>
        <w:rPr>
          <w:i/>
        </w:rPr>
        <w:t>OCC</w:t>
      </w:r>
      <w:r>
        <w:t>/</w:t>
      </w:r>
      <w:r>
        <w:rPr>
          <w:i/>
        </w:rPr>
        <w:t>RevPBD</w:t>
      </w:r>
      <w:r>
        <w:t xml:space="preserve"> наспрам </w:t>
      </w:r>
      <w:r>
        <w:rPr>
          <w:i/>
        </w:rPr>
        <w:t>CapEx</w:t>
      </w:r>
      <w:r>
        <w:t>/</w:t>
      </w:r>
      <w:r>
        <w:rPr>
          <w:i/>
        </w:rPr>
        <w:t>OpEx</w:t>
      </w:r>
      <w:r>
        <w:t>), уз дефинисање „гатинг“ тачака пре преласка у наредне фазе.</w:t>
      </w:r>
    </w:p>
    <w:p w14:paraId="36A69FB6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51" w:name="_rs6scpipmx8l" w:colFirst="0" w:colLast="0"/>
      <w:bookmarkEnd w:id="51"/>
      <w:r>
        <w:rPr>
          <w:b/>
          <w:bCs/>
        </w:rPr>
        <w:t>9.8. Континуитет рада током извођења</w:t>
      </w:r>
    </w:p>
    <w:p w14:paraId="3149EA4D">
      <w:pPr>
        <w:pStyle w:val="3"/>
        <w:spacing w:before="240" w:after="240"/>
        <w:jc w:val="both"/>
      </w:pPr>
      <w:r>
        <w:t>Планира се фазонирање по крилима/спратовима уз привремена пресељења (</w:t>
      </w:r>
      <w:r>
        <w:rPr>
          <w:i/>
        </w:rPr>
        <w:t>decanting</w:t>
      </w:r>
      <w:r>
        <w:t xml:space="preserve">) и јасно обележене безбедне коридоре. Предвиђене су „тихе“ фазе радова у периодима ниже потражње (нпр. радним данима, ван празника) како би се минимизирао утицај на искуство гостију и комерцијалне </w:t>
      </w:r>
      <w:r>
        <w:rPr>
          <w:i/>
        </w:rPr>
        <w:t>KPI</w:t>
      </w:r>
      <w:r>
        <w:t>.</w:t>
      </w:r>
    </w:p>
    <w:p w14:paraId="7BAE5600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52" w:name="_cz6yckw0ohxc" w:colFirst="0" w:colLast="0"/>
      <w:bookmarkEnd w:id="52"/>
      <w:r>
        <w:rPr>
          <w:b/>
          <w:bCs/>
        </w:rPr>
        <w:t>9.9. Стандарди и усклађеност</w:t>
      </w:r>
    </w:p>
    <w:p w14:paraId="6A262985">
      <w:pPr>
        <w:pStyle w:val="3"/>
        <w:spacing w:before="240" w:after="240"/>
        <w:jc w:val="both"/>
      </w:pPr>
      <w:r>
        <w:t>Сви радови усклађују се са прописима из области здравства, безбедности и туризма, као и са захтевима за приступачност. У терапијским зонама примењују се додатни медицински стандарди (вентилација, антимикробне површине, протоколи чишћења). Документација (</w:t>
      </w:r>
      <w:r>
        <w:rPr>
          <w:i/>
        </w:rPr>
        <w:t>as</w:t>
      </w:r>
      <w:r>
        <w:t>‑</w:t>
      </w:r>
      <w:r>
        <w:rPr>
          <w:i/>
        </w:rPr>
        <w:t>built</w:t>
      </w:r>
      <w:r>
        <w:t>, гаранције, сертификати) се чува централно и дигитално.</w:t>
      </w:r>
    </w:p>
    <w:p w14:paraId="5513C655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53" w:name="_1rkr7kwbcsqp" w:colFirst="0" w:colLast="0"/>
      <w:bookmarkEnd w:id="53"/>
      <w:r>
        <w:rPr>
          <w:b/>
          <w:bCs/>
        </w:rPr>
        <w:t>9.10. Одржавање и животни циклус</w:t>
      </w:r>
    </w:p>
    <w:p w14:paraId="72AC7DBF">
      <w:pPr>
        <w:pStyle w:val="3"/>
        <w:spacing w:before="240" w:after="240"/>
        <w:jc w:val="both"/>
      </w:pPr>
      <w:r>
        <w:t>Успоставља се план превентивног одржавања (</w:t>
      </w:r>
      <w:r>
        <w:rPr>
          <w:i/>
        </w:rPr>
        <w:t>PM</w:t>
      </w:r>
      <w:r>
        <w:t xml:space="preserve">) за инсталације, опрему и ентеријер; прати се </w:t>
      </w:r>
      <w:r>
        <w:rPr>
          <w:i/>
        </w:rPr>
        <w:t>TCO</w:t>
      </w:r>
      <w:r>
        <w:t xml:space="preserve"> по зони/објекту. </w:t>
      </w:r>
      <w:r>
        <w:rPr>
          <w:i/>
        </w:rPr>
        <w:t>KPI</w:t>
      </w:r>
      <w:r>
        <w:t xml:space="preserve"> одржавања укључују број непланираних кварова, време отклањања и доступност кључних система; резултати </w:t>
      </w:r>
      <w:r>
        <w:rPr>
          <w:i/>
        </w:rPr>
        <w:t>PM</w:t>
      </w:r>
      <w:r>
        <w:t xml:space="preserve"> директно се повезују са комерцијалним </w:t>
      </w:r>
      <w:r>
        <w:rPr>
          <w:i/>
        </w:rPr>
        <w:t>KPI</w:t>
      </w:r>
      <w:r>
        <w:t xml:space="preserve"> (</w:t>
      </w:r>
      <w:r>
        <w:rPr>
          <w:i/>
        </w:rPr>
        <w:t>OCC</w:t>
      </w:r>
      <w:r>
        <w:t>, задовољство гостију).</w:t>
      </w:r>
    </w:p>
    <w:p w14:paraId="5E61048B">
      <w:pPr>
        <w:pStyle w:val="3"/>
        <w:spacing w:before="240" w:after="240"/>
        <w:jc w:val="both"/>
      </w:pPr>
    </w:p>
    <w:p w14:paraId="4AF82196">
      <w:pPr>
        <w:pStyle w:val="5"/>
        <w:keepNext w:val="0"/>
        <w:keepLines w:val="0"/>
        <w:spacing w:before="280"/>
        <w:jc w:val="both"/>
        <w:rPr>
          <w:b/>
          <w:bCs/>
          <w:color w:val="auto"/>
          <w:sz w:val="36"/>
          <w:szCs w:val="36"/>
        </w:rPr>
      </w:pPr>
      <w:bookmarkStart w:id="54" w:name="_uruxn0uob19p" w:colFirst="0" w:colLast="0"/>
      <w:bookmarkEnd w:id="54"/>
      <w:bookmarkStart w:id="55" w:name="_njcvli2tdlh1" w:colFirst="0" w:colLast="0"/>
      <w:bookmarkEnd w:id="55"/>
      <w:r>
        <w:rPr>
          <w:b/>
          <w:bCs/>
          <w:color w:val="auto"/>
          <w:sz w:val="36"/>
          <w:szCs w:val="36"/>
        </w:rPr>
        <w:t>10. Каналска стратегија и промоција</w:t>
      </w:r>
    </w:p>
    <w:p w14:paraId="2C2D5035">
      <w:pPr>
        <w:pStyle w:val="3"/>
        <w:spacing w:before="240" w:after="240"/>
        <w:jc w:val="both"/>
      </w:pPr>
      <w:r>
        <w:t>Каналска стратегија заснива се на принципу „</w:t>
      </w:r>
      <w:r>
        <w:rPr>
          <w:i/>
        </w:rPr>
        <w:t>direct</w:t>
      </w:r>
      <w:r>
        <w:t>‑</w:t>
      </w:r>
      <w:r>
        <w:rPr>
          <w:i/>
        </w:rPr>
        <w:t>first</w:t>
      </w:r>
      <w:r>
        <w:t xml:space="preserve">, </w:t>
      </w:r>
      <w:r>
        <w:rPr>
          <w:i/>
        </w:rPr>
        <w:t>partner</w:t>
      </w:r>
      <w:r>
        <w:t>‑</w:t>
      </w:r>
      <w:r>
        <w:rPr>
          <w:i/>
        </w:rPr>
        <w:t>enabled</w:t>
      </w:r>
      <w:r>
        <w:t xml:space="preserve">“: максимализовати директне резервације и бренд капитал, уз паметно коришћење посредника и Б2Б мреже за пуњење капацитета, посебно у периодима ниже потражње. Сваки канал има јасне </w:t>
      </w:r>
      <w:r>
        <w:rPr>
          <w:i/>
        </w:rPr>
        <w:t>KPI</w:t>
      </w:r>
      <w:r>
        <w:t>, буџет и правила ценовне паритетности.</w:t>
      </w:r>
    </w:p>
    <w:p w14:paraId="616ADD7D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56" w:name="_hooenavk2ocv" w:colFirst="0" w:colLast="0"/>
      <w:bookmarkEnd w:id="56"/>
      <w:r>
        <w:rPr>
          <w:b/>
          <w:bCs/>
        </w:rPr>
        <w:t xml:space="preserve">10.1. Директни канал (сајт + </w:t>
      </w:r>
      <w:r>
        <w:rPr>
          <w:b/>
          <w:bCs/>
          <w:i/>
        </w:rPr>
        <w:t>booking</w:t>
      </w:r>
      <w:r>
        <w:rPr>
          <w:b/>
          <w:bCs/>
        </w:rPr>
        <w:t xml:space="preserve"> + </w:t>
      </w:r>
      <w:r>
        <w:rPr>
          <w:b/>
          <w:bCs/>
          <w:i/>
        </w:rPr>
        <w:t>CRM</w:t>
      </w:r>
      <w:r>
        <w:rPr>
          <w:b/>
          <w:bCs/>
        </w:rPr>
        <w:t>)</w:t>
      </w:r>
    </w:p>
    <w:p w14:paraId="5BBFF540">
      <w:pPr>
        <w:pStyle w:val="3"/>
        <w:spacing w:before="240" w:after="240"/>
        <w:jc w:val="both"/>
      </w:pPr>
      <w:r>
        <w:t>Развој и унапређење директног канала продаје подразумева модернизацију званичног сајта Специјалне болнице Сокобања, са циљем да се омогући јасна презентација услуга и лак приступ корисницима из земље и иностранства. Посебан фокус биће на:</w:t>
      </w:r>
    </w:p>
    <w:p w14:paraId="6E308737">
      <w:pPr>
        <w:pStyle w:val="3"/>
        <w:numPr>
          <w:ilvl w:val="0"/>
          <w:numId w:val="30"/>
        </w:numPr>
        <w:spacing w:before="240"/>
        <w:jc w:val="both"/>
      </w:pPr>
      <w:r>
        <w:t>прегледном приказу пакета и цена, са могућношћу електронског упита и резервације,</w:t>
      </w:r>
    </w:p>
    <w:p w14:paraId="56C0498E">
      <w:pPr>
        <w:pStyle w:val="3"/>
        <w:numPr>
          <w:ilvl w:val="0"/>
          <w:numId w:val="30"/>
        </w:numPr>
        <w:jc w:val="both"/>
      </w:pPr>
      <w:r>
        <w:t>увођењу вишејезичних садржаја, како би се привукли корисници са међународног тржишта,</w:t>
      </w:r>
    </w:p>
    <w:p w14:paraId="29D2C11A">
      <w:pPr>
        <w:pStyle w:val="3"/>
        <w:numPr>
          <w:ilvl w:val="0"/>
          <w:numId w:val="30"/>
        </w:numPr>
        <w:spacing w:after="240"/>
        <w:jc w:val="both"/>
      </w:pPr>
      <w:r>
        <w:t>унапређењу доступности сајта и једноставности за кориснике свих старосних категорија.</w:t>
      </w:r>
    </w:p>
    <w:p w14:paraId="1546C73B">
      <w:pPr>
        <w:pStyle w:val="3"/>
        <w:spacing w:before="240" w:after="240"/>
        <w:jc w:val="both"/>
      </w:pPr>
      <w:r>
        <w:rPr>
          <w:i/>
        </w:rPr>
        <w:t>Booking</w:t>
      </w:r>
      <w:r>
        <w:t xml:space="preserve"> систем ће омогућити транспарентан преглед слободних капацитета и сезонских цена, уз сигуран начин плаћања. Биће повезан са интерним информационим системом болнице, како би се синхронизовало стање смештајних капацитета и доступних терапија.</w:t>
      </w:r>
    </w:p>
    <w:p w14:paraId="5755F288">
      <w:pPr>
        <w:pStyle w:val="3"/>
        <w:spacing w:before="240" w:after="240"/>
        <w:jc w:val="both"/>
      </w:pPr>
      <w:r>
        <w:rPr>
          <w:i/>
        </w:rPr>
        <w:t>CRM</w:t>
      </w:r>
      <w:r>
        <w:t xml:space="preserve"> (</w:t>
      </w:r>
      <w:r>
        <w:rPr>
          <w:i/>
        </w:rPr>
        <w:t>Customer</w:t>
      </w:r>
      <w:r>
        <w:t xml:space="preserve"> </w:t>
      </w:r>
      <w:r>
        <w:rPr>
          <w:i/>
        </w:rPr>
        <w:t>Relationship</w:t>
      </w:r>
      <w:r>
        <w:t xml:space="preserve"> </w:t>
      </w:r>
      <w:r>
        <w:rPr>
          <w:i/>
        </w:rPr>
        <w:t>Management</w:t>
      </w:r>
      <w:r>
        <w:t>) систем ће омогућити вођење евиденције о корисницима, комуникацију пре, током и након боравка, као и праћење задовољства гостију и њихове лојалности. Тиме се обезбеђује континуиран контакт и стварање базе сталних корисника.</w:t>
      </w:r>
    </w:p>
    <w:p w14:paraId="17462BEB">
      <w:pPr>
        <w:pStyle w:val="3"/>
        <w:spacing w:before="240" w:after="240"/>
        <w:jc w:val="both"/>
      </w:pPr>
      <w:r>
        <w:rPr>
          <w:i/>
        </w:rPr>
        <w:t>SEO</w:t>
      </w:r>
      <w:r>
        <w:t xml:space="preserve"> и промотивне активности ће се водити тако да болница буде видљива на кључним тржиштима здравственог туризма. Промоција путем интернета и друштвених мрежа, као и циљане кампање, користиће се ради повећања броја директних резервација и смањења зависности од посредника.</w:t>
      </w:r>
    </w:p>
    <w:p w14:paraId="7A0F880C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57" w:name="_awk4h1v4osi1" w:colFirst="0" w:colLast="0"/>
      <w:bookmarkEnd w:id="57"/>
      <w:r>
        <w:rPr>
          <w:b/>
          <w:bCs/>
        </w:rPr>
        <w:t>10.2. Посреднички канали (агенције и платформе)</w:t>
      </w:r>
    </w:p>
    <w:p w14:paraId="40E31E9C">
      <w:pPr>
        <w:pStyle w:val="3"/>
        <w:spacing w:before="240" w:after="240"/>
        <w:jc w:val="both"/>
      </w:pPr>
      <w:r>
        <w:t>Селективна сарадња са туристичким агенцијама и специјализованим платформама за здравствени туризам биће заснована на јасно дефинисаним условима, уз контролу трошкова и очување ценовне политике болнице. Уговори ће предвиђати:</w:t>
      </w:r>
    </w:p>
    <w:p w14:paraId="641A1006">
      <w:pPr>
        <w:pStyle w:val="3"/>
        <w:numPr>
          <w:ilvl w:val="0"/>
          <w:numId w:val="31"/>
        </w:numPr>
        <w:spacing w:before="240"/>
        <w:jc w:val="both"/>
      </w:pPr>
      <w:r>
        <w:rPr>
          <w:b/>
          <w:bCs/>
        </w:rPr>
        <w:t>ограничене провизије</w:t>
      </w:r>
      <w:r>
        <w:t xml:space="preserve"> (фиксни проценат који се исплаћује посреднику),</w:t>
      </w:r>
    </w:p>
    <w:p w14:paraId="56E5AFB6">
      <w:pPr>
        <w:pStyle w:val="3"/>
        <w:numPr>
          <w:ilvl w:val="0"/>
          <w:numId w:val="31"/>
        </w:numPr>
        <w:jc w:val="both"/>
      </w:pPr>
      <w:r>
        <w:rPr>
          <w:b/>
          <w:bCs/>
        </w:rPr>
        <w:t xml:space="preserve">рате </w:t>
      </w:r>
      <w:r>
        <w:rPr>
          <w:b/>
          <w:bCs/>
          <w:i/>
        </w:rPr>
        <w:t>parity</w:t>
      </w:r>
      <w:r>
        <w:rPr>
          <w:b/>
          <w:bCs/>
        </w:rPr>
        <w:t xml:space="preserve"> правила</w:t>
      </w:r>
      <w:r>
        <w:t xml:space="preserve"> (исте цене на свим каналима – да не би долазило до нелојалне конкуренције између директног сајта и агенција),</w:t>
      </w:r>
    </w:p>
    <w:p w14:paraId="4492CAC9">
      <w:pPr>
        <w:pStyle w:val="3"/>
        <w:numPr>
          <w:ilvl w:val="0"/>
          <w:numId w:val="31"/>
        </w:numPr>
        <w:jc w:val="both"/>
      </w:pPr>
      <w:r>
        <w:t xml:space="preserve">дефинисане </w:t>
      </w:r>
      <w:r>
        <w:rPr>
          <w:b/>
          <w:bCs/>
        </w:rPr>
        <w:t>моделе резервација</w:t>
      </w:r>
      <w:r>
        <w:t xml:space="preserve"> – </w:t>
      </w:r>
      <w:r>
        <w:rPr>
          <w:i/>
          <w:iCs/>
        </w:rPr>
        <w:t>аллотмент</w:t>
      </w:r>
      <w:r>
        <w:t xml:space="preserve"> (одређени број соба унапред додељен агенцији) и </w:t>
      </w:r>
      <w:r>
        <w:rPr>
          <w:i/>
          <w:iCs/>
        </w:rPr>
        <w:t>on-request</w:t>
      </w:r>
      <w:r>
        <w:t xml:space="preserve"> (резервација по захтеву),</w:t>
      </w:r>
    </w:p>
    <w:p w14:paraId="4E7A498D">
      <w:pPr>
        <w:pStyle w:val="3"/>
        <w:numPr>
          <w:ilvl w:val="0"/>
          <w:numId w:val="31"/>
        </w:numPr>
        <w:jc w:val="both"/>
      </w:pPr>
      <w:r>
        <w:t xml:space="preserve">јасно прописане </w:t>
      </w:r>
      <w:r>
        <w:rPr>
          <w:b/>
          <w:bCs/>
        </w:rPr>
        <w:t>рокове отказа</w:t>
      </w:r>
      <w:r>
        <w:t xml:space="preserve"> и начин фактурисања,</w:t>
      </w:r>
    </w:p>
    <w:p w14:paraId="44647978">
      <w:pPr>
        <w:pStyle w:val="3"/>
        <w:numPr>
          <w:ilvl w:val="0"/>
          <w:numId w:val="31"/>
        </w:numPr>
        <w:spacing w:after="240"/>
        <w:jc w:val="both"/>
      </w:pPr>
      <w:r>
        <w:rPr>
          <w:b/>
          <w:bCs/>
        </w:rPr>
        <w:t>минимално гарантоване волумене у вансезонском периоду</w:t>
      </w:r>
      <w:r>
        <w:t xml:space="preserve"> (како би се обезбедила попуњеност и када је потражња слабија).</w:t>
      </w:r>
    </w:p>
    <w:p w14:paraId="5D94C2DD">
      <w:pPr>
        <w:pStyle w:val="3"/>
        <w:spacing w:before="240" w:after="240"/>
        <w:jc w:val="both"/>
      </w:pPr>
      <w:r>
        <w:t>У циљу контроле квалитета и јединственог наступа, биће успостављено централизовано управљање садржајем (фотографије, описи, ценовници), као и редовне месечне анализе перформанси сваког канала (провераваће се продаја, приходи и профитабилност).</w:t>
      </w:r>
    </w:p>
    <w:p w14:paraId="2F04830F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58" w:name="_luv96s4u8x23" w:colFirst="0" w:colLast="0"/>
      <w:bookmarkEnd w:id="58"/>
      <w:r>
        <w:rPr>
          <w:b/>
          <w:bCs/>
        </w:rPr>
        <w:t xml:space="preserve">10.3. Б2Б (осигурања, компаније, </w:t>
      </w:r>
      <w:r>
        <w:rPr>
          <w:b/>
          <w:bCs/>
          <w:i/>
        </w:rPr>
        <w:t>PIO</w:t>
      </w:r>
      <w:r>
        <w:rPr>
          <w:b/>
          <w:bCs/>
        </w:rPr>
        <w:t>/удружења)</w:t>
      </w:r>
    </w:p>
    <w:p w14:paraId="5B24AA11">
      <w:pPr>
        <w:pStyle w:val="3"/>
        <w:spacing w:before="240" w:after="240"/>
        <w:jc w:val="both"/>
      </w:pPr>
      <w:r>
        <w:t>Стандардизовани пакети и ценовници биће припремљени за специфичне програме – повратак на посао након повреде или операције, респираторне рехабилитације и превентивне викенд боравке. За сваки пакет дефинисаће се јасни критеријуми за упућивање корисника и потребна медицинска документација.</w:t>
      </w:r>
    </w:p>
    <w:p w14:paraId="289D434A">
      <w:pPr>
        <w:pStyle w:val="3"/>
        <w:spacing w:before="240" w:after="240"/>
        <w:jc w:val="both"/>
      </w:pPr>
      <w:r>
        <w:t>Уговори са партнерима (осигуравајућим кућама и компанијама) укључиваће:</w:t>
      </w:r>
    </w:p>
    <w:p w14:paraId="342B440D">
      <w:pPr>
        <w:pStyle w:val="3"/>
        <w:numPr>
          <w:ilvl w:val="0"/>
          <w:numId w:val="32"/>
        </w:numPr>
        <w:spacing w:before="240"/>
        <w:jc w:val="both"/>
      </w:pPr>
      <w:r>
        <w:rPr>
          <w:b/>
          <w:bCs/>
        </w:rPr>
        <w:t>стандарде услуге</w:t>
      </w:r>
      <w:r>
        <w:t xml:space="preserve"> тј. прецизно одређене рокове за одговарање на упите и приоритет у заказивању термина,</w:t>
      </w:r>
    </w:p>
    <w:p w14:paraId="7ADE7C36">
      <w:pPr>
        <w:pStyle w:val="3"/>
        <w:numPr>
          <w:ilvl w:val="0"/>
          <w:numId w:val="32"/>
        </w:numPr>
        <w:jc w:val="both"/>
      </w:pPr>
      <w:r>
        <w:rPr>
          <w:b/>
          <w:bCs/>
        </w:rPr>
        <w:t>кварталне извештаје</w:t>
      </w:r>
      <w:r>
        <w:t xml:space="preserve"> о искоришћености пакета и о оствареним здравственим исходима корисника,</w:t>
      </w:r>
    </w:p>
    <w:p w14:paraId="44502D7C">
      <w:pPr>
        <w:pStyle w:val="3"/>
        <w:numPr>
          <w:ilvl w:val="0"/>
          <w:numId w:val="32"/>
        </w:numPr>
        <w:spacing w:after="240"/>
        <w:jc w:val="both"/>
      </w:pPr>
      <w:r>
        <w:rPr>
          <w:b/>
          <w:bCs/>
        </w:rPr>
        <w:t>услове плаћања</w:t>
      </w:r>
      <w:r>
        <w:t xml:space="preserve"> (на пример: рок од 30 или 60 дана од фактурисања).</w:t>
      </w:r>
    </w:p>
    <w:p w14:paraId="52EDD047">
      <w:pPr>
        <w:pStyle w:val="3"/>
        <w:spacing w:before="240" w:after="240"/>
        <w:jc w:val="both"/>
      </w:pPr>
      <w:r>
        <w:t>Посебан акценат биће стављен на поштовање заштите података и медицинске тајне, у складу са законским прописима и етичким стандардима здравствене делатности.</w:t>
      </w:r>
    </w:p>
    <w:p w14:paraId="085C12A8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59" w:name="_wms4dfohdi7x" w:colFirst="0" w:colLast="0"/>
      <w:bookmarkEnd w:id="59"/>
      <w:r>
        <w:rPr>
          <w:b/>
          <w:bCs/>
        </w:rPr>
        <w:t>10.4. Брендирање и комуникације</w:t>
      </w:r>
    </w:p>
    <w:p w14:paraId="4F4468DC">
      <w:pPr>
        <w:pStyle w:val="3"/>
        <w:spacing w:before="240" w:after="240"/>
        <w:jc w:val="both"/>
      </w:pPr>
      <w:r>
        <w:t xml:space="preserve">Позиционирање и бренд идентитет Специјалне болнице Сокобања засниваће се на јасној поруци: </w:t>
      </w:r>
      <w:r>
        <w:rPr>
          <w:i/>
          <w:iCs/>
        </w:rPr>
        <w:t>„Специјална болница Сокобања – медицинска експертиза уз снагу природних фактора“</w:t>
      </w:r>
      <w:r>
        <w:t>. Ова позиција наглашава спој стручности здравственог особља и јединствених природних ресурса Сокобање (клима, вода, лековити гасови).</w:t>
      </w:r>
    </w:p>
    <w:p w14:paraId="0E7791BF">
      <w:pPr>
        <w:pStyle w:val="3"/>
        <w:spacing w:before="240" w:after="240"/>
        <w:jc w:val="both"/>
      </w:pPr>
      <w:r>
        <w:t>Стубови на којима ће се градити бренд и комуникација су:</w:t>
      </w:r>
    </w:p>
    <w:p w14:paraId="1C1F0D5A">
      <w:pPr>
        <w:pStyle w:val="3"/>
        <w:numPr>
          <w:ilvl w:val="0"/>
          <w:numId w:val="33"/>
        </w:numPr>
        <w:spacing w:before="240"/>
        <w:jc w:val="both"/>
      </w:pPr>
      <w:r>
        <w:rPr>
          <w:b/>
          <w:bCs/>
        </w:rPr>
        <w:t>стручност</w:t>
      </w:r>
      <w:r>
        <w:t xml:space="preserve"> (заснована на вишедеценијском искуству и медицинском кадру),</w:t>
      </w:r>
    </w:p>
    <w:p w14:paraId="6E4FFBAD">
      <w:pPr>
        <w:pStyle w:val="3"/>
        <w:numPr>
          <w:ilvl w:val="0"/>
          <w:numId w:val="33"/>
        </w:numPr>
        <w:jc w:val="both"/>
      </w:pPr>
      <w:r>
        <w:rPr>
          <w:b/>
          <w:bCs/>
        </w:rPr>
        <w:t>сигурност</w:t>
      </w:r>
      <w:r>
        <w:t xml:space="preserve"> (квалитет лечења и висок </w:t>
      </w:r>
      <w:r>
        <w:rPr>
          <w:i/>
        </w:rPr>
        <w:t>standard</w:t>
      </w:r>
      <w:r>
        <w:t xml:space="preserve"> заштите пацијената),</w:t>
      </w:r>
    </w:p>
    <w:p w14:paraId="0D770EB7">
      <w:pPr>
        <w:pStyle w:val="3"/>
        <w:numPr>
          <w:ilvl w:val="0"/>
          <w:numId w:val="33"/>
        </w:numPr>
        <w:jc w:val="both"/>
      </w:pPr>
      <w:r>
        <w:rPr>
          <w:b/>
          <w:bCs/>
        </w:rPr>
        <w:t>приступачност</w:t>
      </w:r>
      <w:r>
        <w:t xml:space="preserve"> (цена и доступност услуга домаћим и иностраним корисницима),</w:t>
      </w:r>
    </w:p>
    <w:p w14:paraId="2B7C477E">
      <w:pPr>
        <w:pStyle w:val="3"/>
        <w:numPr>
          <w:ilvl w:val="0"/>
          <w:numId w:val="33"/>
        </w:numPr>
        <w:jc w:val="both"/>
      </w:pPr>
      <w:r>
        <w:rPr>
          <w:b/>
          <w:bCs/>
        </w:rPr>
        <w:t>традиција</w:t>
      </w:r>
      <w:r>
        <w:t xml:space="preserve"> (дуг историјат бањског лечења и поверење које болница ужива),</w:t>
      </w:r>
    </w:p>
    <w:p w14:paraId="59CF6B6A">
      <w:pPr>
        <w:pStyle w:val="3"/>
        <w:numPr>
          <w:ilvl w:val="0"/>
          <w:numId w:val="33"/>
        </w:numPr>
        <w:spacing w:after="240"/>
        <w:jc w:val="both"/>
      </w:pPr>
      <w:r>
        <w:rPr>
          <w:b/>
          <w:bCs/>
        </w:rPr>
        <w:t>природа</w:t>
      </w:r>
      <w:r>
        <w:t xml:space="preserve"> (аутентично окружење које подржава процес рехабилитације).</w:t>
      </w:r>
    </w:p>
    <w:p w14:paraId="055895A8">
      <w:pPr>
        <w:pStyle w:val="3"/>
        <w:spacing w:before="240" w:after="240"/>
        <w:jc w:val="both"/>
      </w:pPr>
      <w:r>
        <w:t>Визуелни идентитет биће освежен модерним фотографијама, јасном типографијом и усклађеним колоритом који наглашава природне вредности. Тон комуникације биће стручан, али у исто време емпатичан, како би се корисницима улила сигурност и поверење.</w:t>
      </w:r>
    </w:p>
    <w:p w14:paraId="327200D5">
      <w:pPr>
        <w:pStyle w:val="3"/>
        <w:spacing w:before="240" w:after="240"/>
        <w:jc w:val="both"/>
      </w:pPr>
      <w:r>
        <w:t>Ко-брендирање са Туристичком организацијом Сокобања подразумева заједничке промотивне кампање и израду материјала који представљају и болничке капацитете и атракције Сокобање, чиме се обезбеђује интегрисани приступ развоју здравственог туризма.</w:t>
      </w:r>
    </w:p>
    <w:p w14:paraId="5A96CB10">
      <w:pPr>
        <w:pStyle w:val="3"/>
        <w:spacing w:before="240" w:after="240"/>
        <w:jc w:val="both"/>
      </w:pPr>
      <w:r>
        <w:rPr>
          <w:i/>
        </w:rPr>
        <w:t>PR</w:t>
      </w:r>
      <w:r>
        <w:t xml:space="preserve"> активности укључиваће припрему и дистрибуцију стручних текстова потписаних од стране лекара, сарадњу са релевантним стручним удружењима и презентовање студија случаја (уз сагласност пацијената), што додатно јача кредибилитет и углед болнице.</w:t>
      </w:r>
    </w:p>
    <w:p w14:paraId="65F8FCED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60" w:name="_slzpiawhko0i" w:colFirst="0" w:colLast="0"/>
      <w:bookmarkEnd w:id="60"/>
      <w:r>
        <w:rPr>
          <w:b/>
          <w:bCs/>
        </w:rPr>
        <w:t>10.5. Сезонске кампање и календар</w:t>
      </w:r>
    </w:p>
    <w:p w14:paraId="1C0C0151">
      <w:pPr>
        <w:pStyle w:val="3"/>
        <w:spacing w:before="240" w:after="240"/>
        <w:jc w:val="both"/>
      </w:pPr>
      <w:r>
        <w:t>Годишњи календар кампања биће планиран унапред и прилагођен сезонским потребама и специфичним циљним групама корисника. У оквиру њега предвиђене су тематске недеље и месеци, усмерене на кључне здравствене и превентивне програме:</w:t>
      </w:r>
    </w:p>
    <w:p w14:paraId="139B4583">
      <w:pPr>
        <w:pStyle w:val="3"/>
        <w:numPr>
          <w:ilvl w:val="0"/>
          <w:numId w:val="34"/>
        </w:numPr>
        <w:spacing w:before="240"/>
        <w:jc w:val="both"/>
      </w:pPr>
      <w:r>
        <w:rPr>
          <w:i/>
          <w:iCs/>
        </w:rPr>
        <w:t>„Респираторни месеци“</w:t>
      </w:r>
      <w:r>
        <w:t xml:space="preserve"> (новембар–март) – фокус на превенцију и рехабилитацију респираторних обољења током зимског периода.</w:t>
      </w:r>
      <w:r>
        <w:br w:type="textWrapping"/>
      </w:r>
      <w:r>
        <w:rPr>
          <w:i/>
          <w:iCs/>
        </w:rPr>
        <w:t>„Покретљивост и снага“</w:t>
      </w:r>
      <w:r>
        <w:t xml:space="preserve"> (април–јун) – програми рехабилитације након повреда и операција, као и превентивни програми за активно становништво.</w:t>
      </w:r>
    </w:p>
    <w:p w14:paraId="46C67833">
      <w:pPr>
        <w:pStyle w:val="3"/>
        <w:numPr>
          <w:ilvl w:val="0"/>
          <w:numId w:val="34"/>
        </w:numPr>
        <w:spacing w:after="240"/>
        <w:jc w:val="both"/>
      </w:pPr>
      <w:r>
        <w:rPr>
          <w:i/>
          <w:iCs/>
        </w:rPr>
        <w:t>„Антистрес и опоравак“</w:t>
      </w:r>
      <w:r>
        <w:t xml:space="preserve"> (септембар–октобар) – пакети усмерени на ментално здравље, смањење стреса и обнову енергије након летњих месеци.</w:t>
      </w:r>
    </w:p>
    <w:p w14:paraId="46FE0C8D">
      <w:pPr>
        <w:pStyle w:val="3"/>
        <w:spacing w:before="240" w:after="240"/>
        <w:jc w:val="both"/>
      </w:pPr>
      <w:r>
        <w:t xml:space="preserve">Поред тематских кампања, посебна пажња биће усмерена на офф-сеасон понуде, како би се попунили капацитети ван главне сезоне. </w:t>
      </w:r>
      <w:r>
        <w:rPr>
          <w:i/>
        </w:rPr>
        <w:t>To</w:t>
      </w:r>
      <w:r>
        <w:t xml:space="preserve"> обухвата пакете за боравке током радне недеље (</w:t>
      </w:r>
      <w:r>
        <w:rPr>
          <w:i/>
          <w:iCs/>
        </w:rPr>
        <w:t>midweek</w:t>
      </w:r>
      <w:r>
        <w:t xml:space="preserve"> аранжмани), програме за дуже боравке, породичне пакете и понуде прилагођене локалном и регионалном тржишту.</w:t>
      </w:r>
    </w:p>
    <w:p w14:paraId="1B3456C4">
      <w:pPr>
        <w:pStyle w:val="3"/>
        <w:spacing w:before="240" w:after="240"/>
        <w:jc w:val="both"/>
      </w:pPr>
      <w:r>
        <w:t>Кампање ће бити усклађене са рекреативним и културним догађајима у Сокобањи, чиме се постиже синергија између здравствене понуде болнице и туристичких атракција дестинације. На тај начин, болница постаје интегрални део укупне туристичке понуде региона.</w:t>
      </w:r>
    </w:p>
    <w:p w14:paraId="41F15300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61" w:name="_kvedvpntq2fn" w:colFirst="0" w:colLast="0"/>
      <w:bookmarkEnd w:id="61"/>
      <w:r>
        <w:rPr>
          <w:b/>
          <w:bCs/>
        </w:rPr>
        <w:t xml:space="preserve">10.6. </w:t>
      </w:r>
      <w:r>
        <w:rPr>
          <w:b/>
          <w:bCs/>
          <w:i/>
        </w:rPr>
        <w:t>KPI</w:t>
      </w:r>
      <w:r>
        <w:rPr>
          <w:b/>
          <w:bCs/>
        </w:rPr>
        <w:t xml:space="preserve"> и мерење маркетинга</w:t>
      </w:r>
    </w:p>
    <w:p w14:paraId="620A10DF">
      <w:pPr>
        <w:pStyle w:val="3"/>
        <w:spacing w:before="240" w:after="240"/>
        <w:jc w:val="both"/>
      </w:pPr>
      <w:r>
        <w:t>Праћење успешности по продајним каналима засниваће се на јасно дефинисаним показатељима, који ће омогућити редовну процену и правовремено прилагођавање стратегије:</w:t>
      </w:r>
    </w:p>
    <w:p w14:paraId="37362E1A">
      <w:pPr>
        <w:pStyle w:val="3"/>
        <w:numPr>
          <w:ilvl w:val="0"/>
          <w:numId w:val="35"/>
        </w:numPr>
        <w:spacing w:before="240"/>
        <w:jc w:val="both"/>
      </w:pPr>
      <w:r>
        <w:rPr>
          <w:b/>
          <w:bCs/>
        </w:rPr>
        <w:t>трошак по кориснику (</w:t>
      </w:r>
      <w:r>
        <w:rPr>
          <w:b/>
          <w:bCs/>
          <w:i/>
        </w:rPr>
        <w:t>CAC</w:t>
      </w:r>
      <w:r>
        <w:rPr>
          <w:b/>
          <w:bCs/>
        </w:rPr>
        <w:t xml:space="preserve"> – </w:t>
      </w:r>
      <w:r>
        <w:rPr>
          <w:b/>
          <w:bCs/>
          <w:i/>
        </w:rPr>
        <w:t>Customer</w:t>
      </w:r>
      <w:r>
        <w:rPr>
          <w:b/>
          <w:bCs/>
        </w:rPr>
        <w:t xml:space="preserve"> </w:t>
      </w:r>
      <w:r>
        <w:rPr>
          <w:b/>
          <w:bCs/>
          <w:i/>
        </w:rPr>
        <w:t>Acquisition</w:t>
      </w:r>
      <w:r>
        <w:rPr>
          <w:b/>
          <w:bCs/>
        </w:rPr>
        <w:t xml:space="preserve"> </w:t>
      </w:r>
      <w:r>
        <w:rPr>
          <w:b/>
          <w:bCs/>
          <w:i/>
        </w:rPr>
        <w:t>Cost</w:t>
      </w:r>
      <w:r>
        <w:rPr>
          <w:b/>
          <w:bCs/>
        </w:rPr>
        <w:t>)</w:t>
      </w:r>
      <w:r>
        <w:t>: мери колики је просечан трошак да се дође до новог корисника путем одређеног канала,</w:t>
      </w:r>
    </w:p>
    <w:p w14:paraId="34937549">
      <w:pPr>
        <w:pStyle w:val="3"/>
        <w:numPr>
          <w:ilvl w:val="0"/>
          <w:numId w:val="35"/>
        </w:numPr>
        <w:jc w:val="both"/>
      </w:pPr>
      <w:r>
        <w:rPr>
          <w:b/>
          <w:bCs/>
        </w:rPr>
        <w:t>повраћај на улагање у оглашавање (</w:t>
      </w:r>
      <w:r>
        <w:rPr>
          <w:b/>
          <w:bCs/>
          <w:i/>
        </w:rPr>
        <w:t>ROAS</w:t>
      </w:r>
      <w:r>
        <w:rPr>
          <w:b/>
          <w:bCs/>
        </w:rPr>
        <w:t xml:space="preserve"> – </w:t>
      </w:r>
      <w:r>
        <w:rPr>
          <w:b/>
          <w:bCs/>
          <w:i/>
        </w:rPr>
        <w:t>Return</w:t>
      </w:r>
      <w:r>
        <w:rPr>
          <w:b/>
          <w:bCs/>
        </w:rPr>
        <w:t xml:space="preserve"> </w:t>
      </w:r>
      <w:r>
        <w:rPr>
          <w:b/>
          <w:bCs/>
          <w:i/>
        </w:rPr>
        <w:t>on</w:t>
      </w:r>
      <w:r>
        <w:rPr>
          <w:b/>
          <w:bCs/>
        </w:rPr>
        <w:t xml:space="preserve"> </w:t>
      </w:r>
      <w:r>
        <w:rPr>
          <w:b/>
          <w:bCs/>
          <w:i/>
        </w:rPr>
        <w:t>Ad</w:t>
      </w:r>
      <w:r>
        <w:rPr>
          <w:b/>
          <w:bCs/>
        </w:rPr>
        <w:t xml:space="preserve"> </w:t>
      </w:r>
      <w:r>
        <w:rPr>
          <w:b/>
          <w:bCs/>
          <w:i/>
        </w:rPr>
        <w:t>Spend</w:t>
      </w:r>
      <w:r>
        <w:rPr>
          <w:b/>
          <w:bCs/>
        </w:rPr>
        <w:t>)</w:t>
      </w:r>
      <w:r>
        <w:t>: показује колико прихода се остварује у односу на уложена средства у кампање,</w:t>
      </w:r>
    </w:p>
    <w:p w14:paraId="18074332">
      <w:pPr>
        <w:pStyle w:val="3"/>
        <w:numPr>
          <w:ilvl w:val="0"/>
          <w:numId w:val="35"/>
        </w:numPr>
        <w:jc w:val="both"/>
      </w:pPr>
      <w:r>
        <w:rPr>
          <w:b/>
          <w:bCs/>
        </w:rPr>
        <w:t>стопа конверзије сајта</w:t>
      </w:r>
      <w:r>
        <w:t>: проценат посетилаца сајта који изврше резервацију или пошаљу упит,</w:t>
      </w:r>
    </w:p>
    <w:p w14:paraId="69A98830">
      <w:pPr>
        <w:pStyle w:val="3"/>
        <w:numPr>
          <w:ilvl w:val="0"/>
          <w:numId w:val="35"/>
        </w:numPr>
        <w:jc w:val="both"/>
      </w:pPr>
      <w:r>
        <w:rPr>
          <w:b/>
          <w:bCs/>
        </w:rPr>
        <w:t>удео директних резервација</w:t>
      </w:r>
      <w:r>
        <w:t>: мери колико корисника резервише директно преко сајта у односу на оне који долазе преко агенција и посредника,</w:t>
      </w:r>
    </w:p>
    <w:p w14:paraId="27DA8E07">
      <w:pPr>
        <w:pStyle w:val="3"/>
        <w:numPr>
          <w:ilvl w:val="0"/>
          <w:numId w:val="35"/>
        </w:numPr>
        <w:jc w:val="both"/>
      </w:pPr>
      <w:r>
        <w:rPr>
          <w:b/>
          <w:bCs/>
        </w:rPr>
        <w:t>просечна цена по пакету</w:t>
      </w:r>
      <w:r>
        <w:t>: просечан приход остварен по продатом пакету,</w:t>
      </w:r>
    </w:p>
    <w:p w14:paraId="06876E4D">
      <w:pPr>
        <w:pStyle w:val="3"/>
        <w:numPr>
          <w:ilvl w:val="0"/>
          <w:numId w:val="35"/>
        </w:numPr>
        <w:jc w:val="both"/>
      </w:pPr>
      <w:r>
        <w:rPr>
          <w:b/>
          <w:bCs/>
        </w:rPr>
        <w:t>вредност корисника на дужи рок (</w:t>
      </w:r>
      <w:r>
        <w:rPr>
          <w:b/>
          <w:bCs/>
          <w:i/>
        </w:rPr>
        <w:t>LTV</w:t>
      </w:r>
      <w:r>
        <w:rPr>
          <w:b/>
          <w:bCs/>
        </w:rPr>
        <w:t xml:space="preserve"> – </w:t>
      </w:r>
      <w:r>
        <w:rPr>
          <w:b/>
          <w:bCs/>
          <w:i/>
        </w:rPr>
        <w:t>Lifetime</w:t>
      </w:r>
      <w:r>
        <w:rPr>
          <w:b/>
          <w:bCs/>
        </w:rPr>
        <w:t xml:space="preserve"> </w:t>
      </w:r>
      <w:r>
        <w:rPr>
          <w:b/>
          <w:bCs/>
          <w:i/>
        </w:rPr>
        <w:t>Value</w:t>
      </w:r>
      <w:r>
        <w:rPr>
          <w:b/>
          <w:bCs/>
        </w:rPr>
        <w:t>)</w:t>
      </w:r>
      <w:r>
        <w:t>: процењује колики приход просечан корисник донесе током више посета,</w:t>
      </w:r>
    </w:p>
    <w:p w14:paraId="149F2597">
      <w:pPr>
        <w:pStyle w:val="3"/>
        <w:numPr>
          <w:ilvl w:val="0"/>
          <w:numId w:val="35"/>
        </w:numPr>
        <w:jc w:val="both"/>
      </w:pPr>
      <w:r>
        <w:rPr>
          <w:b/>
          <w:bCs/>
        </w:rPr>
        <w:t>стопа поновних долазака</w:t>
      </w:r>
      <w:r>
        <w:t>: удео корисника који се враћају,</w:t>
      </w:r>
    </w:p>
    <w:p w14:paraId="3871CC60">
      <w:pPr>
        <w:pStyle w:val="3"/>
        <w:numPr>
          <w:ilvl w:val="0"/>
          <w:numId w:val="35"/>
        </w:numPr>
        <w:jc w:val="both"/>
      </w:pPr>
      <w:r>
        <w:rPr>
          <w:b/>
          <w:bCs/>
        </w:rPr>
        <w:t xml:space="preserve">удео </w:t>
      </w:r>
      <w:r>
        <w:rPr>
          <w:b/>
          <w:bCs/>
          <w:i/>
        </w:rPr>
        <w:t>premium</w:t>
      </w:r>
      <w:r>
        <w:rPr>
          <w:b/>
          <w:bCs/>
        </w:rPr>
        <w:t xml:space="preserve"> соба у укупним резервацијама</w:t>
      </w:r>
      <w:r>
        <w:t>: мери искоришћеност реновираних и скупљих капацитета,</w:t>
      </w:r>
    </w:p>
    <w:p w14:paraId="00BA5366">
      <w:pPr>
        <w:pStyle w:val="3"/>
        <w:numPr>
          <w:ilvl w:val="0"/>
          <w:numId w:val="35"/>
        </w:numPr>
        <w:spacing w:after="240"/>
        <w:jc w:val="both"/>
      </w:pPr>
      <w:r>
        <w:rPr>
          <w:b/>
          <w:bCs/>
        </w:rPr>
        <w:t>индекс задовољства корисника (</w:t>
      </w:r>
      <w:r>
        <w:rPr>
          <w:b/>
          <w:bCs/>
          <w:i/>
        </w:rPr>
        <w:t>NPS</w:t>
      </w:r>
      <w:r>
        <w:rPr>
          <w:b/>
          <w:bCs/>
        </w:rPr>
        <w:t xml:space="preserve"> – </w:t>
      </w:r>
      <w:r>
        <w:rPr>
          <w:b/>
          <w:bCs/>
          <w:i/>
        </w:rPr>
        <w:t>Net</w:t>
      </w:r>
      <w:r>
        <w:rPr>
          <w:b/>
          <w:bCs/>
        </w:rPr>
        <w:t xml:space="preserve"> </w:t>
      </w:r>
      <w:r>
        <w:rPr>
          <w:b/>
          <w:bCs/>
          <w:i/>
        </w:rPr>
        <w:t>Promoter</w:t>
      </w:r>
      <w:r>
        <w:rPr>
          <w:b/>
          <w:bCs/>
        </w:rPr>
        <w:t xml:space="preserve"> </w:t>
      </w:r>
      <w:r>
        <w:rPr>
          <w:b/>
          <w:bCs/>
          <w:i/>
        </w:rPr>
        <w:t>Score</w:t>
      </w:r>
      <w:r>
        <w:rPr>
          <w:b/>
          <w:bCs/>
        </w:rPr>
        <w:t>)</w:t>
      </w:r>
      <w:r>
        <w:t>: показатељ спремности корисника да препоруче услугу другима.</w:t>
      </w:r>
    </w:p>
    <w:p w14:paraId="071E1F57">
      <w:pPr>
        <w:pStyle w:val="3"/>
        <w:spacing w:before="240" w:after="240"/>
        <w:jc w:val="both"/>
      </w:pPr>
      <w:r>
        <w:t xml:space="preserve">Ради боље контроле и доношења одлука, биће успостављен месечни </w:t>
      </w:r>
      <w:r>
        <w:rPr>
          <w:i/>
        </w:rPr>
        <w:t>dashboard</w:t>
      </w:r>
      <w:r>
        <w:t xml:space="preserve"> са кључним показатељима, док ће се квартално организовати преглед свих канала (</w:t>
      </w:r>
      <w:r>
        <w:rPr>
          <w:i/>
          <w:iCs/>
        </w:rPr>
        <w:t>channel mix review</w:t>
      </w:r>
      <w:r>
        <w:t>) где ће се анализирати структура продаје, исплативост и потребне корекције. На основу резултата, прилагођаваће се буџет за кампање и поруке које се пласирају тржишту.</w:t>
      </w:r>
    </w:p>
    <w:p w14:paraId="29A4F153">
      <w:pPr>
        <w:pStyle w:val="5"/>
        <w:keepNext w:val="0"/>
        <w:keepLines w:val="0"/>
        <w:spacing w:before="240" w:after="40"/>
        <w:jc w:val="both"/>
        <w:rPr>
          <w:b/>
          <w:bCs/>
        </w:rPr>
      </w:pPr>
      <w:bookmarkStart w:id="62" w:name="_wiik68icmegx" w:colFirst="0" w:colLast="0"/>
      <w:bookmarkEnd w:id="62"/>
      <w:r>
        <w:rPr>
          <w:b/>
          <w:bCs/>
        </w:rPr>
        <w:t>10.7. Организација и управљање маркетингом</w:t>
      </w:r>
    </w:p>
    <w:p w14:paraId="37CABC48">
      <w:pPr>
        <w:pStyle w:val="3"/>
        <w:spacing w:before="240" w:after="240"/>
        <w:jc w:val="both"/>
      </w:pPr>
      <w:r>
        <w:t>Увођење ритма управљања подразумева јасно дефинисане циклусе планирања, анализе и одлучивања, како би се обезбедила контрола и усклађеност свих маркетиншких и продајних активности:</w:t>
      </w:r>
    </w:p>
    <w:p w14:paraId="77A5DE0C">
      <w:pPr>
        <w:pStyle w:val="3"/>
        <w:numPr>
          <w:ilvl w:val="0"/>
          <w:numId w:val="36"/>
        </w:numPr>
        <w:spacing w:before="240"/>
        <w:jc w:val="both"/>
      </w:pPr>
      <w:r>
        <w:rPr>
          <w:b/>
          <w:bCs/>
        </w:rPr>
        <w:t>недељни преглед продајног тока</w:t>
      </w:r>
      <w:r>
        <w:t xml:space="preserve"> – кратки извештаји о тренутним упитима, резервацијама и реализацији пакета, са фокусом на пуњење капацитета,</w:t>
      </w:r>
    </w:p>
    <w:p w14:paraId="31446A3F">
      <w:pPr>
        <w:pStyle w:val="3"/>
        <w:numPr>
          <w:ilvl w:val="0"/>
          <w:numId w:val="36"/>
        </w:numPr>
        <w:jc w:val="both"/>
      </w:pPr>
      <w:r>
        <w:rPr>
          <w:b/>
          <w:bCs/>
        </w:rPr>
        <w:t xml:space="preserve">месечни </w:t>
      </w:r>
      <w:r>
        <w:rPr>
          <w:b/>
          <w:bCs/>
          <w:i/>
        </w:rPr>
        <w:t>marketing</w:t>
      </w:r>
      <w:r>
        <w:rPr>
          <w:b/>
          <w:bCs/>
        </w:rPr>
        <w:t xml:space="preserve"> преглед</w:t>
      </w:r>
      <w:r>
        <w:t xml:space="preserve"> – анализа спроведених кампања и промотивних активности, са препорукама за унапређења,</w:t>
      </w:r>
    </w:p>
    <w:p w14:paraId="28ACBE57">
      <w:pPr>
        <w:pStyle w:val="3"/>
        <w:numPr>
          <w:ilvl w:val="0"/>
          <w:numId w:val="36"/>
        </w:numPr>
        <w:jc w:val="both"/>
      </w:pPr>
      <w:r>
        <w:rPr>
          <w:b/>
          <w:bCs/>
        </w:rPr>
        <w:t>квартални преглед цена и пакета</w:t>
      </w:r>
      <w:r>
        <w:t xml:space="preserve"> – евалуација ценовне политике и пакета у односу на конкуренцију, потражњу и сезоналност,</w:t>
      </w:r>
    </w:p>
    <w:p w14:paraId="060EE614">
      <w:pPr>
        <w:pStyle w:val="3"/>
        <w:numPr>
          <w:ilvl w:val="0"/>
          <w:numId w:val="36"/>
        </w:numPr>
        <w:spacing w:after="240"/>
        <w:jc w:val="both"/>
      </w:pPr>
      <w:r>
        <w:rPr>
          <w:b/>
          <w:bCs/>
        </w:rPr>
        <w:t>годишње планирање</w:t>
      </w:r>
      <w:r>
        <w:t xml:space="preserve"> – дефинисање буџета, циљева и кључних иницијатива за наредну годину, у складу са стратешким оквиром.</w:t>
      </w:r>
    </w:p>
    <w:p w14:paraId="049D31E9">
      <w:pPr>
        <w:pStyle w:val="3"/>
        <w:spacing w:before="240" w:after="240"/>
        <w:jc w:val="both"/>
      </w:pPr>
      <w:r>
        <w:t xml:space="preserve">Све комуникационе активности биће усклађене са прописима здравствене делатности. </w:t>
      </w:r>
      <w:r>
        <w:rPr>
          <w:i/>
        </w:rPr>
        <w:t>To</w:t>
      </w:r>
      <w:r>
        <w:t xml:space="preserve"> укључује политике одобравања креативних материјала и обавезну правну проверу свих промотивних порука, како би се обезбедила тачност, етичност и законитост у комуникацији према корисницима.</w:t>
      </w:r>
    </w:p>
    <w:p w14:paraId="1D90644E">
      <w:pPr>
        <w:pStyle w:val="3"/>
        <w:spacing w:before="240" w:after="240"/>
        <w:jc w:val="both"/>
      </w:pPr>
      <w:r>
        <w:t>Биће дефинисани и буџети по продајном каналу, са јасно одређеним праговима за ескалацију или оптимизацију – на пример, ако одређени канал не остварује планиране резултате, предвиђа се правовремена прерасподела средстава ка ефикаснијим каналима.</w:t>
      </w:r>
    </w:p>
    <w:p w14:paraId="4764C1B4">
      <w:pPr>
        <w:pStyle w:val="3"/>
        <w:spacing w:before="240" w:after="240"/>
        <w:jc w:val="both"/>
      </w:pPr>
    </w:p>
    <w:p w14:paraId="7F67E729">
      <w:pPr>
        <w:pStyle w:val="5"/>
        <w:keepNext w:val="0"/>
        <w:keepLines w:val="0"/>
        <w:spacing w:before="280"/>
        <w:jc w:val="both"/>
        <w:rPr>
          <w:b/>
          <w:bCs/>
          <w:color w:val="auto"/>
          <w:sz w:val="36"/>
          <w:szCs w:val="36"/>
        </w:rPr>
      </w:pPr>
      <w:bookmarkStart w:id="63" w:name="_aqnwj3oqypgl" w:colFirst="0" w:colLast="0"/>
      <w:bookmarkEnd w:id="63"/>
      <w:bookmarkStart w:id="64" w:name="_ujl77ce8seat" w:colFirst="0" w:colLast="0"/>
      <w:bookmarkEnd w:id="64"/>
      <w:r>
        <w:rPr>
          <w:b/>
          <w:bCs/>
          <w:color w:val="auto"/>
          <w:sz w:val="36"/>
          <w:szCs w:val="36"/>
        </w:rPr>
        <w:t>11. Распоред терапијских слотова и оперативно планирање</w:t>
      </w:r>
    </w:p>
    <w:p w14:paraId="501C08C1">
      <w:pPr>
        <w:pStyle w:val="3"/>
        <w:jc w:val="both"/>
      </w:pPr>
      <w:r>
        <w:t>Ефикасно оперативно планирање и управљање терапијским капацитетима кључни су за максимизацију задовољства корисника и искоришћеност ресурса. План подразумева капацитетски распоред по врсти терапија (инхалације, каде, базени, физикалне терапије), са јасно дефинисаним дневним и месечним квотама.</w:t>
      </w:r>
    </w:p>
    <w:p w14:paraId="5E88AD80">
      <w:pPr>
        <w:pStyle w:val="3"/>
        <w:jc w:val="both"/>
      </w:pPr>
    </w:p>
    <w:p w14:paraId="3C74FC17">
      <w:pPr>
        <w:pStyle w:val="3"/>
        <w:jc w:val="both"/>
      </w:pPr>
      <w:r>
        <w:rPr>
          <w:b/>
          <w:bCs/>
        </w:rPr>
        <w:t xml:space="preserve">Алгоритам заказивања: </w:t>
      </w:r>
      <w:r>
        <w:t>приоритет имају гости који користе пакетне аранжмане, уз интеграцију са собним распоредом и примену сменског рада ради равномерног оптерећења особља и инфраструктуре. Тиме се спречавају гужве и смањују периоди неактивности апарата.</w:t>
      </w:r>
    </w:p>
    <w:p w14:paraId="6EF7CA1B">
      <w:pPr>
        <w:pStyle w:val="3"/>
        <w:jc w:val="both"/>
      </w:pPr>
    </w:p>
    <w:p w14:paraId="33116026">
      <w:pPr>
        <w:pStyle w:val="3"/>
        <w:jc w:val="both"/>
      </w:pPr>
      <w:r>
        <w:rPr>
          <w:b/>
          <w:bCs/>
          <w:i/>
        </w:rPr>
        <w:t>KPI</w:t>
      </w:r>
      <w:r>
        <w:rPr>
          <w:b/>
          <w:bCs/>
        </w:rPr>
        <w:t xml:space="preserve"> мерења: </w:t>
      </w:r>
      <w:r>
        <w:t>пратиће се искоришћеност слотова по терапији, просечно време чекања и но-</w:t>
      </w:r>
      <w:r>
        <w:rPr>
          <w:i/>
        </w:rPr>
        <w:t>show</w:t>
      </w:r>
      <w:r>
        <w:t xml:space="preserve"> стопе, што омогућава правовремено прилагођавање распореда и унапређење корисничког искуства.</w:t>
      </w:r>
    </w:p>
    <w:p w14:paraId="3CA272D6">
      <w:pPr>
        <w:pStyle w:val="3"/>
        <w:jc w:val="both"/>
      </w:pPr>
    </w:p>
    <w:p w14:paraId="3F1C5E33">
      <w:pPr>
        <w:pStyle w:val="3"/>
        <w:jc w:val="both"/>
      </w:pPr>
      <w:r>
        <w:rPr>
          <w:b/>
          <w:bCs/>
        </w:rPr>
        <w:t>Контрола квалитета:</w:t>
      </w:r>
      <w:r>
        <w:t xml:space="preserve"> уводе се стандардне оперативне процедуре (</w:t>
      </w:r>
      <w:r>
        <w:rPr>
          <w:i/>
        </w:rPr>
        <w:t>SOP</w:t>
      </w:r>
      <w:r>
        <w:t>) за безбедност, хигијену и евиденцију, као и систематско праћење ефеката терапија. На тај начин обезбеђује се висок ниво услуге и одржава репутација болнице као поуздане и професионалне установе.</w:t>
      </w:r>
      <w:r>
        <w:br w:type="textWrapping"/>
      </w:r>
    </w:p>
    <w:p w14:paraId="3E5697EE">
      <w:pPr>
        <w:pStyle w:val="5"/>
        <w:keepNext w:val="0"/>
        <w:keepLines w:val="0"/>
        <w:spacing w:before="280"/>
        <w:jc w:val="both"/>
        <w:rPr>
          <w:b/>
          <w:bCs/>
          <w:color w:val="auto"/>
          <w:sz w:val="36"/>
          <w:szCs w:val="36"/>
        </w:rPr>
      </w:pPr>
      <w:bookmarkStart w:id="65" w:name="_zhms4hj2o74h" w:colFirst="0" w:colLast="0"/>
      <w:bookmarkEnd w:id="65"/>
      <w:bookmarkStart w:id="66" w:name="_s1mi36xi01pu" w:colFirst="0" w:colLast="0"/>
      <w:bookmarkEnd w:id="66"/>
      <w:r>
        <w:rPr>
          <w:b/>
          <w:bCs/>
          <w:color w:val="auto"/>
          <w:sz w:val="36"/>
          <w:szCs w:val="36"/>
        </w:rPr>
        <w:t>12. Организација, улоге и одговорности</w:t>
      </w:r>
    </w:p>
    <w:p w14:paraId="1B0F514A">
      <w:pPr>
        <w:pStyle w:val="3"/>
        <w:jc w:val="both"/>
      </w:pPr>
      <w:r>
        <w:t>Организациона структура за спровођење овог стратешког плана ослања се на јасно дефинисане улоге, одговорности и линије извештавања. На челу стоји директор Специјалне болнице Сокобања који сноси укупну одговорност за имплементацију и остварење циљева. Директор формира Комерцијални савет као саветодавно и контролно тело које прати реализацију комерцијалних активности. Уз њега се формира и Пројектна канцеларија (</w:t>
      </w:r>
      <w:r>
        <w:rPr>
          <w:i/>
        </w:rPr>
        <w:t>PMO</w:t>
      </w:r>
      <w:r>
        <w:t xml:space="preserve">) задужена за координацију инфраструктурних инвестиција, </w:t>
      </w:r>
      <w:r>
        <w:rPr>
          <w:i/>
        </w:rPr>
        <w:t>marketing</w:t>
      </w:r>
      <w:r>
        <w:t xml:space="preserve"> и продају.</w:t>
      </w:r>
    </w:p>
    <w:p w14:paraId="35AE56D4">
      <w:pPr>
        <w:pStyle w:val="3"/>
        <w:numPr>
          <w:ilvl w:val="0"/>
          <w:numId w:val="37"/>
        </w:numPr>
        <w:spacing w:before="240"/>
        <w:jc w:val="both"/>
      </w:pPr>
      <w:r>
        <w:rPr>
          <w:b/>
          <w:bCs/>
        </w:rPr>
        <w:t>Управни одбор</w:t>
      </w:r>
      <w:r>
        <w:t>: усвајање плана, годишња евалуација, надзор над инвестицијама.</w:t>
      </w:r>
    </w:p>
    <w:p w14:paraId="7C45DFC6">
      <w:pPr>
        <w:pStyle w:val="3"/>
        <w:numPr>
          <w:ilvl w:val="0"/>
          <w:numId w:val="37"/>
        </w:numPr>
        <w:jc w:val="both"/>
      </w:pPr>
      <w:r>
        <w:rPr>
          <w:b/>
          <w:bCs/>
        </w:rPr>
        <w:t>Директор</w:t>
      </w:r>
      <w:r>
        <w:t xml:space="preserve">: извршни носилац стратегије; квартално извештавање </w:t>
      </w:r>
      <w:r>
        <w:rPr>
          <w:i/>
        </w:rPr>
        <w:t>UO</w:t>
      </w:r>
      <w:r>
        <w:t xml:space="preserve"> и Министарству здравља.</w:t>
      </w:r>
    </w:p>
    <w:p w14:paraId="1FA6AA30">
      <w:pPr>
        <w:pStyle w:val="3"/>
        <w:numPr>
          <w:ilvl w:val="0"/>
          <w:numId w:val="37"/>
        </w:numPr>
        <w:jc w:val="both"/>
      </w:pPr>
      <w:r>
        <w:rPr>
          <w:b/>
          <w:bCs/>
        </w:rPr>
        <w:t>Комерцијално–маркетиншка служба</w:t>
      </w:r>
      <w:r>
        <w:t xml:space="preserve">: продаја, </w:t>
      </w:r>
      <w:r>
        <w:rPr>
          <w:i/>
        </w:rPr>
        <w:t>marketing</w:t>
      </w:r>
      <w:r>
        <w:t xml:space="preserve">, ценовна политика, </w:t>
      </w:r>
      <w:r>
        <w:rPr>
          <w:i/>
        </w:rPr>
        <w:t>CRM</w:t>
      </w:r>
      <w:r>
        <w:t xml:space="preserve">, партнерства, </w:t>
      </w:r>
      <w:r>
        <w:rPr>
          <w:i/>
        </w:rPr>
        <w:t>KPI</w:t>
      </w:r>
      <w:r>
        <w:t xml:space="preserve"> </w:t>
      </w:r>
      <w:r>
        <w:rPr>
          <w:i/>
        </w:rPr>
        <w:t>dashboard</w:t>
      </w:r>
      <w:r>
        <w:t>.</w:t>
      </w:r>
    </w:p>
    <w:p w14:paraId="57DBC5A2">
      <w:pPr>
        <w:pStyle w:val="3"/>
        <w:numPr>
          <w:ilvl w:val="0"/>
          <w:numId w:val="37"/>
        </w:numPr>
        <w:jc w:val="both"/>
      </w:pPr>
      <w:r>
        <w:rPr>
          <w:b/>
          <w:bCs/>
        </w:rPr>
        <w:t>Сектор за медицину и терапије</w:t>
      </w:r>
      <w:r>
        <w:t>: план терапијских капацитета, стандарди квалитета, евиденција и исходи.</w:t>
      </w:r>
    </w:p>
    <w:p w14:paraId="2539BBA8">
      <w:pPr>
        <w:pStyle w:val="3"/>
        <w:numPr>
          <w:ilvl w:val="0"/>
          <w:numId w:val="37"/>
        </w:numPr>
        <w:jc w:val="both"/>
      </w:pPr>
      <w:r>
        <w:rPr>
          <w:b/>
          <w:bCs/>
        </w:rPr>
        <w:t>Сектор за инвестиције и одржавање</w:t>
      </w:r>
      <w:r>
        <w:t>: планирање и спровођење реконструкција; превентивно одржавање.</w:t>
      </w:r>
    </w:p>
    <w:p w14:paraId="32E0F3C6">
      <w:pPr>
        <w:pStyle w:val="3"/>
        <w:numPr>
          <w:ilvl w:val="0"/>
          <w:numId w:val="37"/>
        </w:numPr>
        <w:spacing w:after="240"/>
        <w:jc w:val="both"/>
      </w:pPr>
      <w:r>
        <w:rPr>
          <w:b/>
          <w:bCs/>
        </w:rPr>
        <w:t>Финансије/рачуноводство</w:t>
      </w:r>
      <w:r>
        <w:t xml:space="preserve">: сегментно рачуноводство (комерцијални П&amp;Л), контролинг, обрачун </w:t>
      </w:r>
      <w:r>
        <w:rPr>
          <w:i/>
        </w:rPr>
        <w:t>RevPBD</w:t>
      </w:r>
      <w:r>
        <w:t>.</w:t>
      </w:r>
    </w:p>
    <w:p w14:paraId="7AF4C14D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  <w:i/>
        </w:rPr>
        <w:t>RACI</w:t>
      </w:r>
      <w:r>
        <w:rPr>
          <w:b/>
          <w:bCs/>
        </w:rPr>
        <w:t xml:space="preserve"> матрица (за кључне иницијативе)</w:t>
      </w:r>
    </w:p>
    <w:tbl>
      <w:tblPr>
        <w:tblStyle w:val="17"/>
        <w:tblW w:w="936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872"/>
        <w:gridCol w:w="1872"/>
        <w:gridCol w:w="1872"/>
        <w:gridCol w:w="1872"/>
        <w:gridCol w:w="1872"/>
      </w:tblGrid>
      <w:tr w14:paraId="69AE175E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A8A707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Иницијатива</w:t>
            </w:r>
          </w:p>
        </w:tc>
        <w:tc>
          <w:tcPr>
            <w:tcW w:w="1872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1C7B5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  <w:sz w:val="14"/>
                <w:szCs w:val="14"/>
              </w:rPr>
            </w:pPr>
            <w:r>
              <w:rPr>
                <w:b/>
                <w:bCs/>
                <w:sz w:val="20"/>
                <w:szCs w:val="20"/>
              </w:rPr>
              <w:t xml:space="preserve">Р </w:t>
            </w:r>
            <w:r>
              <w:rPr>
                <w:b/>
                <w:bCs/>
                <w:sz w:val="14"/>
                <w:szCs w:val="14"/>
              </w:rPr>
              <w:t>(Респонсибле/</w:t>
            </w:r>
            <w:r>
              <w:rPr>
                <w:b/>
                <w:bCs/>
                <w:sz w:val="14"/>
                <w:szCs w:val="14"/>
              </w:rPr>
              <w:br w:type="textWrapping"/>
            </w:r>
            <w:r>
              <w:rPr>
                <w:b/>
                <w:bCs/>
                <w:sz w:val="14"/>
                <w:szCs w:val="14"/>
              </w:rPr>
              <w:t>Одговорни изврсилац)</w:t>
            </w:r>
          </w:p>
        </w:tc>
        <w:tc>
          <w:tcPr>
            <w:tcW w:w="1872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B5144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  <w:sz w:val="14"/>
                <w:szCs w:val="14"/>
              </w:rPr>
            </w:pPr>
            <w:r>
              <w:rPr>
                <w:b/>
                <w:bCs/>
                <w:sz w:val="20"/>
                <w:szCs w:val="20"/>
              </w:rPr>
              <w:t xml:space="preserve">А </w:t>
            </w:r>
            <w:r>
              <w:rPr>
                <w:b/>
                <w:bCs/>
                <w:sz w:val="14"/>
                <w:szCs w:val="14"/>
              </w:rPr>
              <w:t>(Аццоунтабле/</w:t>
            </w:r>
            <w:r>
              <w:rPr>
                <w:b/>
                <w:bCs/>
                <w:sz w:val="14"/>
                <w:szCs w:val="14"/>
              </w:rPr>
              <w:br w:type="textWrapping"/>
            </w:r>
            <w:r>
              <w:rPr>
                <w:b/>
                <w:bCs/>
                <w:sz w:val="14"/>
                <w:szCs w:val="14"/>
              </w:rPr>
              <w:t>Коначно одговоран)</w:t>
            </w:r>
          </w:p>
        </w:tc>
        <w:tc>
          <w:tcPr>
            <w:tcW w:w="1872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D870F6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  <w:sz w:val="14"/>
                <w:szCs w:val="14"/>
              </w:rPr>
            </w:pPr>
            <w:r>
              <w:rPr>
                <w:b/>
                <w:bCs/>
                <w:sz w:val="20"/>
                <w:szCs w:val="20"/>
              </w:rPr>
              <w:t xml:space="preserve">Ц </w:t>
            </w:r>
            <w:r>
              <w:rPr>
                <w:b/>
                <w:bCs/>
                <w:sz w:val="14"/>
                <w:szCs w:val="14"/>
              </w:rPr>
              <w:t>(Цонсултед/</w:t>
            </w:r>
            <w:r>
              <w:rPr>
                <w:b/>
                <w:bCs/>
                <w:sz w:val="14"/>
                <w:szCs w:val="14"/>
              </w:rPr>
              <w:br w:type="textWrapping"/>
            </w:r>
            <w:r>
              <w:rPr>
                <w:b/>
                <w:bCs/>
                <w:sz w:val="14"/>
                <w:szCs w:val="14"/>
              </w:rPr>
              <w:t>Консултован)</w:t>
            </w:r>
          </w:p>
        </w:tc>
        <w:tc>
          <w:tcPr>
            <w:tcW w:w="1872" w:type="dxa"/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7286E6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b/>
                <w:bCs/>
                <w:sz w:val="14"/>
                <w:szCs w:val="14"/>
              </w:rPr>
            </w:pPr>
            <w:r>
              <w:rPr>
                <w:b/>
                <w:bCs/>
                <w:sz w:val="20"/>
                <w:szCs w:val="20"/>
              </w:rPr>
              <w:t xml:space="preserve">И </w:t>
            </w:r>
            <w:r>
              <w:rPr>
                <w:b/>
                <w:bCs/>
                <w:sz w:val="14"/>
                <w:szCs w:val="14"/>
              </w:rPr>
              <w:t>(Информед/</w:t>
            </w:r>
            <w:r>
              <w:rPr>
                <w:b/>
                <w:bCs/>
                <w:sz w:val="14"/>
                <w:szCs w:val="14"/>
              </w:rPr>
              <w:br w:type="textWrapping"/>
            </w:r>
            <w:r>
              <w:rPr>
                <w:b/>
                <w:bCs/>
                <w:sz w:val="14"/>
                <w:szCs w:val="14"/>
              </w:rPr>
              <w:t>Обавештен)</w:t>
            </w:r>
          </w:p>
        </w:tc>
      </w:tr>
      <w:tr w14:paraId="62BC3A8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C36DF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Реконструкција Старог Завода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5F013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Сектор за инвестиције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BD6176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50A93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  <w:r>
              <w:rPr>
                <w:sz w:val="18"/>
                <w:szCs w:val="18"/>
              </w:rPr>
              <w:t>, Финансије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79339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Сви сектори</w:t>
            </w:r>
          </w:p>
        </w:tc>
      </w:tr>
      <w:tr w14:paraId="2DB297F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1E731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Адаптација и уређење Новог Завода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31DA4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Сектор за инвестиције/извођачи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8E991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952C3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Медицинска служба, </w:t>
            </w:r>
            <w:r>
              <w:rPr>
                <w:i/>
                <w:sz w:val="18"/>
                <w:szCs w:val="18"/>
              </w:rPr>
              <w:t>TO</w:t>
            </w:r>
            <w:r>
              <w:rPr>
                <w:sz w:val="18"/>
                <w:szCs w:val="18"/>
              </w:rPr>
              <w:t xml:space="preserve"> Сокобања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CE918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  <w:r>
              <w:rPr>
                <w:sz w:val="18"/>
                <w:szCs w:val="18"/>
              </w:rPr>
              <w:t>, сви запослени</w:t>
            </w:r>
          </w:p>
        </w:tc>
      </w:tr>
      <w:tr w14:paraId="7CB51099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7C3B4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Модернизација инхалаторијума и физикалне сале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FB62F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Медицинска служба, сектор за инвестиције/извођачи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0FA851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B9136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  <w:r>
              <w:rPr>
                <w:sz w:val="18"/>
                <w:szCs w:val="18"/>
              </w:rPr>
              <w:t>, Финансије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2B1AEE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</w:p>
        </w:tc>
      </w:tr>
      <w:tr w14:paraId="7BB2F37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AAC4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Енергетска ефикасност и </w:t>
            </w:r>
            <w:r>
              <w:rPr>
                <w:i/>
                <w:sz w:val="18"/>
                <w:szCs w:val="18"/>
              </w:rPr>
              <w:t>BMS</w:t>
            </w:r>
            <w:r>
              <w:rPr>
                <w:sz w:val="18"/>
                <w:szCs w:val="18"/>
              </w:rPr>
              <w:t xml:space="preserve"> систем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BEF807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Сектор за инвестиције, </w:t>
            </w:r>
            <w:r>
              <w:rPr>
                <w:i/>
                <w:sz w:val="18"/>
                <w:szCs w:val="18"/>
              </w:rPr>
              <w:t>IT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3E0A2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1812F8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Финансије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9C92A7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  <w:r>
              <w:rPr>
                <w:sz w:val="18"/>
                <w:szCs w:val="18"/>
              </w:rPr>
              <w:t>, сви сектори</w:t>
            </w:r>
          </w:p>
        </w:tc>
      </w:tr>
      <w:tr w14:paraId="0D20BBC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343F7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Успостава </w:t>
            </w:r>
            <w:r>
              <w:rPr>
                <w:i/>
                <w:sz w:val="18"/>
                <w:szCs w:val="18"/>
              </w:rPr>
              <w:t>booking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i/>
                <w:sz w:val="18"/>
                <w:szCs w:val="18"/>
              </w:rPr>
              <w:t>engine</w:t>
            </w:r>
            <w:r>
              <w:rPr>
                <w:sz w:val="18"/>
                <w:szCs w:val="18"/>
              </w:rPr>
              <w:t>-а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7329C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16423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F7BF34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IT</w:t>
            </w:r>
            <w:r>
              <w:rPr>
                <w:sz w:val="18"/>
                <w:szCs w:val="18"/>
              </w:rPr>
              <w:t>, Финансије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6F0BB4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</w:p>
        </w:tc>
      </w:tr>
      <w:tr w14:paraId="1F2D51A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CF99E7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Пакетизација услуга и ценовни растер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50150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4271E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194B2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Сектор терапија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6581B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</w:p>
        </w:tc>
      </w:tr>
      <w:tr w14:paraId="28D4EB16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A2FC51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CRM</w:t>
            </w:r>
            <w:r>
              <w:rPr>
                <w:sz w:val="18"/>
                <w:szCs w:val="18"/>
              </w:rPr>
              <w:t xml:space="preserve"> имплементација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B6782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2D64D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833831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IT</w:t>
            </w:r>
            <w:r>
              <w:rPr>
                <w:sz w:val="18"/>
                <w:szCs w:val="18"/>
              </w:rPr>
              <w:t>, Правна служба, Финансије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0F9BB3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</w:p>
        </w:tc>
      </w:tr>
      <w:tr w14:paraId="4571DE54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4B624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Дигитални 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068CA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4F698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8FCE4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IT</w:t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i/>
                <w:sz w:val="18"/>
                <w:szCs w:val="18"/>
              </w:rPr>
              <w:t>TO</w:t>
            </w:r>
            <w:r>
              <w:rPr>
                <w:sz w:val="18"/>
                <w:szCs w:val="18"/>
              </w:rPr>
              <w:t xml:space="preserve"> Сокобања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E99E7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</w:p>
        </w:tc>
      </w:tr>
      <w:tr w14:paraId="5F9BA9A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6B09D8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Б2Б уговори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656853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Б2Б координатор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60359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F471A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Финансије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B96D1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</w:p>
        </w:tc>
      </w:tr>
      <w:tr w14:paraId="68FA6F51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C86DBE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Сарадња са туристичким агенцијама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26F874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Б2Б координатор, 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16394E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A143E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TO</w:t>
            </w:r>
            <w:r>
              <w:rPr>
                <w:sz w:val="18"/>
                <w:szCs w:val="18"/>
              </w:rPr>
              <w:t xml:space="preserve"> Сокобања, Финансије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B68AE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</w:p>
        </w:tc>
      </w:tr>
      <w:tr w14:paraId="5B4304FD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8D5C4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Брендирање и </w:t>
            </w:r>
            <w:r>
              <w:rPr>
                <w:i/>
                <w:sz w:val="18"/>
                <w:szCs w:val="18"/>
              </w:rPr>
              <w:t>PR</w:t>
            </w:r>
            <w:r>
              <w:rPr>
                <w:sz w:val="18"/>
                <w:szCs w:val="18"/>
              </w:rPr>
              <w:t xml:space="preserve"> активности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8FDA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C8F4C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630D5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TO</w:t>
            </w:r>
            <w:r>
              <w:rPr>
                <w:sz w:val="18"/>
                <w:szCs w:val="18"/>
              </w:rPr>
              <w:t xml:space="preserve"> Сокобања, </w:t>
            </w:r>
            <w:r>
              <w:rPr>
                <w:i/>
                <w:sz w:val="18"/>
                <w:szCs w:val="18"/>
              </w:rPr>
              <w:t>UO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04CD41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Сви сектори</w:t>
            </w:r>
          </w:p>
        </w:tc>
      </w:tr>
      <w:tr w14:paraId="7F9B0BF0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23379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Сезонске кампање и тематске недеље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8D2A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573ED9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12B1F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Медицинска служба, </w:t>
            </w:r>
            <w:r>
              <w:rPr>
                <w:i/>
                <w:sz w:val="18"/>
                <w:szCs w:val="18"/>
              </w:rPr>
              <w:t>TO</w:t>
            </w:r>
            <w:r>
              <w:rPr>
                <w:sz w:val="18"/>
                <w:szCs w:val="18"/>
              </w:rPr>
              <w:t xml:space="preserve"> Сокобања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4163B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  <w:r>
              <w:rPr>
                <w:sz w:val="18"/>
                <w:szCs w:val="18"/>
              </w:rPr>
              <w:t>, сви запослени</w:t>
            </w:r>
          </w:p>
        </w:tc>
      </w:tr>
      <w:tr w14:paraId="2AEB328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25F9A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Управљање терапијским слотовима и </w:t>
            </w:r>
            <w:r>
              <w:rPr>
                <w:i/>
                <w:sz w:val="18"/>
                <w:szCs w:val="18"/>
              </w:rPr>
              <w:t>SOP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E8A663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Медицинска служба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43E887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3C3E3D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2C70A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</w:p>
        </w:tc>
      </w:tr>
      <w:tr w14:paraId="50768305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FEB53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Мониторинг резултата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7B798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Финансијско-контролна служба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F11C9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E3DE4A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  <w:r>
              <w:rPr>
                <w:sz w:val="18"/>
                <w:szCs w:val="18"/>
              </w:rPr>
              <w:t>, Медицинска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D36280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  <w:r>
              <w:rPr>
                <w:sz w:val="18"/>
                <w:szCs w:val="18"/>
              </w:rPr>
              <w:t>, сви сектори</w:t>
            </w:r>
          </w:p>
        </w:tc>
      </w:tr>
      <w:tr w14:paraId="21ED226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blHeader/>
        </w:trPr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8D2B55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Управљање ризицима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C457E2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Комисија за ризике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6C6A9F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43105B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UO</w:t>
            </w:r>
            <w:r>
              <w:rPr>
                <w:sz w:val="18"/>
                <w:szCs w:val="18"/>
              </w:rPr>
              <w:t>, Правна служба</w:t>
            </w:r>
          </w:p>
        </w:tc>
        <w:tc>
          <w:tcPr>
            <w:tcW w:w="1872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D74E8C">
            <w:pPr>
              <w:pStyle w:val="3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240" w:lineRule="auto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Сви сектори</w:t>
            </w:r>
          </w:p>
        </w:tc>
      </w:tr>
    </w:tbl>
    <w:p w14:paraId="214CD50E">
      <w:pPr>
        <w:pStyle w:val="5"/>
        <w:keepNext w:val="0"/>
        <w:keepLines w:val="0"/>
        <w:spacing w:before="280"/>
        <w:jc w:val="both"/>
        <w:rPr>
          <w:b/>
          <w:bCs/>
          <w:color w:val="auto"/>
          <w:sz w:val="36"/>
          <w:szCs w:val="36"/>
        </w:rPr>
      </w:pPr>
      <w:bookmarkStart w:id="67" w:name="_44wpn61iu4ty" w:colFirst="0" w:colLast="0"/>
      <w:bookmarkEnd w:id="67"/>
      <w:bookmarkStart w:id="68" w:name="_3rkxbwjztsfw" w:colFirst="0" w:colLast="0"/>
      <w:bookmarkEnd w:id="68"/>
      <w:r>
        <w:rPr>
          <w:b/>
          <w:bCs/>
          <w:color w:val="auto"/>
          <w:sz w:val="36"/>
          <w:szCs w:val="36"/>
        </w:rPr>
        <w:t>13. Управљање ризицима</w:t>
      </w:r>
    </w:p>
    <w:p w14:paraId="1B96508E">
      <w:pPr>
        <w:pStyle w:val="3"/>
        <w:spacing w:before="240" w:after="240"/>
        <w:jc w:val="both"/>
      </w:pPr>
      <w:r>
        <w:t xml:space="preserve">Управљање ризицима је кључни део овог плана јер обезбеђује дугорочну одрживост и сигурност пословања. Идентификовани су ризици по тематским целинама, дефинисана је њихова вероватноћа и утицај, а за сваки ризик предложене су конкретне мере ублажавања и носиоци одговорности. Процесом управља Комитет за ризике, док </w:t>
      </w:r>
      <w:r>
        <w:rPr>
          <w:i/>
        </w:rPr>
        <w:t>PMO</w:t>
      </w:r>
      <w:r>
        <w:t xml:space="preserve"> и финансијска служба обезбеђују оперативно спровођење мера.</w:t>
      </w:r>
    </w:p>
    <w:p w14:paraId="709D2296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Матрица ризика:</w:t>
      </w:r>
    </w:p>
    <w:tbl>
      <w:tblPr>
        <w:tblStyle w:val="18"/>
        <w:tblpPr w:leftFromText="180" w:rightFromText="180" w:topFromText="180" w:bottomFromText="180" w:vertAnchor="text"/>
        <w:tblW w:w="9375" w:type="dxa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2040"/>
        <w:gridCol w:w="1455"/>
        <w:gridCol w:w="1215"/>
        <w:gridCol w:w="2520"/>
        <w:gridCol w:w="2145"/>
      </w:tblGrid>
      <w:tr w14:paraId="3AE9CD4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50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</w:tcPr>
          <w:p w14:paraId="5744CDE0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Ризик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</w:tcPr>
          <w:p w14:paraId="059AEE1C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Вероватноћа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</w:tcPr>
          <w:p w14:paraId="23AD5295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Утицај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</w:tcPr>
          <w:p w14:paraId="4B45F0A0">
            <w:pPr>
              <w:pStyle w:val="3"/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Носиоци (Р)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</w:tcPr>
          <w:p w14:paraId="552D0370">
            <w:pPr>
              <w:pStyle w:val="3"/>
              <w:jc w:val="both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Мере ублажавања</w:t>
            </w:r>
          </w:p>
        </w:tc>
      </w:tr>
      <w:tr w14:paraId="37ECFF3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6761F93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Кашњење инвестиционих радова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CA6160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AA708C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5083054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PMO</w:t>
            </w:r>
            <w:r>
              <w:rPr>
                <w:sz w:val="18"/>
                <w:szCs w:val="18"/>
              </w:rPr>
              <w:t>, Сектор за инвестиције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632DA4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Резервни извођачи, фазно планирање, строга контрола рокова</w:t>
            </w:r>
          </w:p>
        </w:tc>
      </w:tr>
      <w:tr w14:paraId="5FE2F31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A07622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Недостатак </w:t>
            </w:r>
            <w:r>
              <w:rPr>
                <w:i/>
                <w:sz w:val="18"/>
                <w:szCs w:val="18"/>
              </w:rPr>
              <w:t>marketing</w:t>
            </w:r>
            <w:r>
              <w:rPr>
                <w:sz w:val="18"/>
                <w:szCs w:val="18"/>
              </w:rPr>
              <w:t xml:space="preserve"> кадрова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84E54F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01DF11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7B751D3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Директор, </w:t>
            </w:r>
            <w:r>
              <w:rPr>
                <w:i/>
                <w:sz w:val="18"/>
                <w:szCs w:val="18"/>
              </w:rPr>
              <w:t>HR</w:t>
            </w:r>
            <w:r>
              <w:rPr>
                <w:sz w:val="18"/>
                <w:szCs w:val="18"/>
              </w:rPr>
              <w:t>, 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ECB149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Обуке, запошљавање, </w:t>
            </w:r>
            <w:r>
              <w:rPr>
                <w:i/>
                <w:sz w:val="18"/>
                <w:szCs w:val="18"/>
              </w:rPr>
              <w:t>outsourcing</w:t>
            </w:r>
            <w:r>
              <w:rPr>
                <w:sz w:val="18"/>
                <w:szCs w:val="18"/>
              </w:rPr>
              <w:t xml:space="preserve"> консултантима, креирање стимулативних пакета</w:t>
            </w:r>
          </w:p>
        </w:tc>
      </w:tr>
      <w:tr w14:paraId="47EAC36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104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094F00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Регулаторне измене (здравство/туризам)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CC9369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Ниска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E4087A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CA156CE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Директор, Правна служба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48BF2B4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Праћење прописа, правна експертиза, активно лобирање</w:t>
            </w:r>
          </w:p>
        </w:tc>
      </w:tr>
      <w:tr w14:paraId="2BCEDF8C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456078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Неуспех дигиталног </w:t>
            </w:r>
            <w:r>
              <w:rPr>
                <w:i/>
                <w:sz w:val="18"/>
                <w:szCs w:val="18"/>
              </w:rPr>
              <w:t>booking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i/>
                <w:sz w:val="18"/>
                <w:szCs w:val="18"/>
              </w:rPr>
              <w:t>engine</w:t>
            </w:r>
            <w:r>
              <w:rPr>
                <w:sz w:val="18"/>
                <w:szCs w:val="18"/>
              </w:rPr>
              <w:t>-а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36A9A3C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BABB66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5808520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i/>
                <w:sz w:val="18"/>
                <w:szCs w:val="18"/>
              </w:rPr>
              <w:t>IT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E7FE70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Тест фаза, бацкуп решења, уговори са екстерним добављачима</w:t>
            </w:r>
          </w:p>
        </w:tc>
      </w:tr>
      <w:tr w14:paraId="29A761E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A62B5D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Неадекватна пакетизација и ценовна политика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7E67A2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FE918D6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Средњи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C6AAE86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  <w:r>
              <w:rPr>
                <w:sz w:val="18"/>
                <w:szCs w:val="18"/>
              </w:rPr>
              <w:t>, Финансије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3B609E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Pilot</w:t>
            </w:r>
            <w:r>
              <w:rPr>
                <w:sz w:val="18"/>
                <w:szCs w:val="18"/>
              </w:rPr>
              <w:t xml:space="preserve"> тестови, </w:t>
            </w:r>
            <w:r>
              <w:rPr>
                <w:i/>
                <w:sz w:val="18"/>
                <w:szCs w:val="18"/>
              </w:rPr>
              <w:t>benchmarking</w:t>
            </w:r>
            <w:r>
              <w:rPr>
                <w:sz w:val="18"/>
                <w:szCs w:val="18"/>
              </w:rPr>
              <w:t xml:space="preserve"> са конкуренцијом, флексибилне корекције</w:t>
            </w:r>
          </w:p>
        </w:tc>
      </w:tr>
      <w:tr w14:paraId="4E4FAE9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563933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Негативне рецензије и репутациони ризици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812821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915642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4B0F88C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  <w:r>
              <w:rPr>
                <w:sz w:val="18"/>
                <w:szCs w:val="18"/>
              </w:rPr>
              <w:t>, Медицинска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43C09C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Активна комуникација, кризни </w:t>
            </w:r>
            <w:r>
              <w:rPr>
                <w:i/>
                <w:sz w:val="18"/>
                <w:szCs w:val="18"/>
              </w:rPr>
              <w:t>PR</w:t>
            </w:r>
            <w:r>
              <w:rPr>
                <w:sz w:val="18"/>
                <w:szCs w:val="18"/>
              </w:rPr>
              <w:t xml:space="preserve"> план, унапређење квалитета услуге</w:t>
            </w:r>
          </w:p>
        </w:tc>
      </w:tr>
      <w:tr w14:paraId="343CAB69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1E9E9D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Кварови опреме и инфраструктурне хаварије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5BDABA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86F4D3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0F1C9C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PMO</w:t>
            </w:r>
            <w:r>
              <w:rPr>
                <w:sz w:val="18"/>
                <w:szCs w:val="18"/>
              </w:rPr>
              <w:t>, Медицинска служба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6D7148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Превентивно одржавање, уговори са сервисима, фонд за хитне поправке</w:t>
            </w:r>
          </w:p>
        </w:tc>
      </w:tr>
      <w:tr w14:paraId="3BDDD30F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6889F8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Недовољна искоришћеност терапијских слотова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25DDE36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622660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Средњи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0B00A8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Медицинска служба, Комерц./</w:t>
            </w:r>
            <w:r>
              <w:rPr>
                <w:i/>
                <w:sz w:val="18"/>
                <w:szCs w:val="18"/>
              </w:rPr>
              <w:t>marketing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C90D8E6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Алгоритам заказивања, </w:t>
            </w:r>
            <w:r>
              <w:rPr>
                <w:i/>
                <w:sz w:val="18"/>
                <w:szCs w:val="18"/>
              </w:rPr>
              <w:t>KPI</w:t>
            </w:r>
            <w:r>
              <w:rPr>
                <w:sz w:val="18"/>
                <w:szCs w:val="18"/>
              </w:rPr>
              <w:t xml:space="preserve"> праћење, корективне акције</w:t>
            </w:r>
          </w:p>
        </w:tc>
      </w:tr>
      <w:tr w14:paraId="5B0B970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47F6C8AE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Ризик од сезонске осцилације тражње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17D9A12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A8C7CB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Средњи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A99E3C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Комерц./</w:t>
            </w:r>
            <w:r>
              <w:rPr>
                <w:i/>
                <w:sz w:val="18"/>
                <w:szCs w:val="18"/>
              </w:rPr>
              <w:t>marketing</w:t>
            </w:r>
            <w:r>
              <w:rPr>
                <w:sz w:val="18"/>
                <w:szCs w:val="18"/>
              </w:rPr>
              <w:t xml:space="preserve">, </w:t>
            </w:r>
            <w:r>
              <w:rPr>
                <w:i/>
                <w:sz w:val="18"/>
                <w:szCs w:val="18"/>
              </w:rPr>
              <w:t>TO</w:t>
            </w:r>
            <w:r>
              <w:rPr>
                <w:sz w:val="18"/>
                <w:szCs w:val="18"/>
              </w:rPr>
              <w:t xml:space="preserve"> Сокобања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2CC34A7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Сезонске кампање, тематске недеље, попусти ван сезоне</w:t>
            </w:r>
          </w:p>
        </w:tc>
      </w:tr>
      <w:tr w14:paraId="1AC90FA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204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6AE00C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Ризик финансијског дефицита у току инвестиција</w:t>
            </w:r>
          </w:p>
        </w:tc>
        <w:tc>
          <w:tcPr>
            <w:tcW w:w="14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3C6070D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Средња</w:t>
            </w:r>
          </w:p>
        </w:tc>
        <w:tc>
          <w:tcPr>
            <w:tcW w:w="12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AD6AC52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Висок</w:t>
            </w:r>
          </w:p>
        </w:tc>
        <w:tc>
          <w:tcPr>
            <w:tcW w:w="25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789D9E0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Финансије, Директор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51C557E0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Диверсификација извора финансирања, аплицирање за грантове, резервни фонд</w:t>
            </w:r>
          </w:p>
        </w:tc>
      </w:tr>
    </w:tbl>
    <w:p w14:paraId="2E6A6D5C">
      <w:pPr>
        <w:pStyle w:val="6"/>
        <w:keepNext w:val="0"/>
        <w:keepLines w:val="0"/>
        <w:spacing w:before="240" w:after="40"/>
        <w:jc w:val="both"/>
        <w:rPr>
          <w:b/>
          <w:bCs/>
          <w:color w:val="000000"/>
          <w:sz w:val="22"/>
          <w:szCs w:val="22"/>
        </w:rPr>
      </w:pPr>
      <w:bookmarkStart w:id="69" w:name="_g6d1vz35q73k" w:colFirst="0" w:colLast="0"/>
      <w:bookmarkEnd w:id="69"/>
      <w:r>
        <w:rPr>
          <w:b/>
          <w:bCs/>
          <w:color w:val="000000"/>
          <w:sz w:val="22"/>
          <w:szCs w:val="22"/>
        </w:rPr>
        <w:t>Процес праћења и евалуације ризика</w:t>
      </w:r>
    </w:p>
    <w:p w14:paraId="43F22748">
      <w:pPr>
        <w:pStyle w:val="3"/>
        <w:numPr>
          <w:ilvl w:val="0"/>
          <w:numId w:val="38"/>
        </w:numPr>
        <w:spacing w:before="240"/>
        <w:jc w:val="both"/>
      </w:pPr>
      <w:r>
        <w:rPr>
          <w:b/>
          <w:bCs/>
        </w:rPr>
        <w:t>Идентификација:</w:t>
      </w:r>
      <w:r>
        <w:t xml:space="preserve"> квартално ажурирање листе ризика од стране свих сектора.</w:t>
      </w:r>
    </w:p>
    <w:p w14:paraId="3BD9CC39">
      <w:pPr>
        <w:pStyle w:val="3"/>
        <w:numPr>
          <w:ilvl w:val="0"/>
          <w:numId w:val="38"/>
        </w:numPr>
        <w:jc w:val="both"/>
      </w:pPr>
      <w:r>
        <w:rPr>
          <w:b/>
          <w:bCs/>
        </w:rPr>
        <w:t>Процена:</w:t>
      </w:r>
      <w:r>
        <w:t xml:space="preserve"> квантификација утицаја (финансијски, репутациони, оперативни) и одређивање приоритета.</w:t>
      </w:r>
    </w:p>
    <w:p w14:paraId="2D7C8318">
      <w:pPr>
        <w:pStyle w:val="3"/>
        <w:numPr>
          <w:ilvl w:val="0"/>
          <w:numId w:val="38"/>
        </w:numPr>
        <w:jc w:val="both"/>
      </w:pPr>
      <w:r>
        <w:rPr>
          <w:b/>
          <w:bCs/>
        </w:rPr>
        <w:t>Ублажавање:</w:t>
      </w:r>
      <w:r>
        <w:t xml:space="preserve"> спровођење превентивних и корективних мера дефинисаних у табели.</w:t>
      </w:r>
    </w:p>
    <w:p w14:paraId="1CBE0823">
      <w:pPr>
        <w:pStyle w:val="3"/>
        <w:numPr>
          <w:ilvl w:val="0"/>
          <w:numId w:val="38"/>
        </w:numPr>
        <w:jc w:val="both"/>
      </w:pPr>
      <w:r>
        <w:rPr>
          <w:b/>
          <w:bCs/>
        </w:rPr>
        <w:t>Мониторинг:</w:t>
      </w:r>
      <w:r>
        <w:t xml:space="preserve"> </w:t>
      </w:r>
      <w:r>
        <w:rPr>
          <w:i/>
        </w:rPr>
        <w:t>KPI</w:t>
      </w:r>
      <w:r>
        <w:t xml:space="preserve"> ризика – број реализованих инвестиција на време, број дана затварања објеката, сентимент корисника на дигиталним каналима, попуњеност капацитета.</w:t>
      </w:r>
    </w:p>
    <w:p w14:paraId="414AE714">
      <w:pPr>
        <w:pStyle w:val="3"/>
        <w:numPr>
          <w:ilvl w:val="0"/>
          <w:numId w:val="38"/>
        </w:numPr>
        <w:spacing w:after="240"/>
        <w:jc w:val="both"/>
      </w:pPr>
      <w:r>
        <w:rPr>
          <w:b/>
          <w:bCs/>
        </w:rPr>
        <w:t>Извештавање:</w:t>
      </w:r>
      <w:r>
        <w:t xml:space="preserve"> квартални извештаји Комитета за ризике руководству и Управном одбору.</w:t>
      </w:r>
    </w:p>
    <w:p w14:paraId="718FC53A">
      <w:pPr>
        <w:pStyle w:val="3"/>
        <w:spacing w:before="240" w:after="240"/>
        <w:jc w:val="both"/>
      </w:pPr>
      <w:r>
        <w:t>Овај систем омогућава проактиван приступ ризицима, уместо реактивног, и даје јасну методологију како се ризици идентификују, прате и третирају кроз цео период 2026–2029.</w:t>
      </w:r>
    </w:p>
    <w:p w14:paraId="338E2F8B">
      <w:pPr>
        <w:pStyle w:val="3"/>
        <w:jc w:val="both"/>
      </w:pPr>
    </w:p>
    <w:p w14:paraId="70C2A981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70" w:name="_6z3f67ee7vxh" w:colFirst="0" w:colLast="0"/>
      <w:bookmarkEnd w:id="70"/>
      <w:r>
        <w:br w:type="page"/>
      </w:r>
    </w:p>
    <w:p w14:paraId="76EDBB09">
      <w:pPr>
        <w:pStyle w:val="4"/>
        <w:keepNext w:val="0"/>
        <w:keepLines w:val="0"/>
        <w:spacing w:before="280"/>
        <w:jc w:val="both"/>
        <w:rPr>
          <w:b/>
          <w:bCs/>
        </w:rPr>
      </w:pPr>
      <w:bookmarkStart w:id="71" w:name="_dpfjxa97gxqd" w:colFirst="0" w:colLast="0"/>
      <w:bookmarkEnd w:id="71"/>
      <w:r>
        <w:rPr>
          <w:b/>
          <w:bCs/>
        </w:rPr>
        <w:t>14. Мониторинг и извештавање</w:t>
      </w:r>
    </w:p>
    <w:p w14:paraId="192D4E2B">
      <w:pPr>
        <w:pStyle w:val="3"/>
        <w:spacing w:before="240" w:after="240"/>
        <w:jc w:val="both"/>
      </w:pPr>
      <w:r>
        <w:t>Праћење и извештавање представљају кључне механизме транспарентности и одговорности пред институцијама и заинтересованим странама. Систем мониторинг-а је пројектован тако да обезбеди редовно праћење реализације циљева, правовремено откривање одступања и омогућавање корективних мера.</w:t>
      </w:r>
    </w:p>
    <w:p w14:paraId="7A1C91DF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Структура система мониторинга:</w:t>
      </w:r>
    </w:p>
    <w:p w14:paraId="35151871">
      <w:pPr>
        <w:pStyle w:val="3"/>
        <w:numPr>
          <w:ilvl w:val="0"/>
          <w:numId w:val="39"/>
        </w:numPr>
        <w:spacing w:before="240"/>
        <w:jc w:val="both"/>
      </w:pPr>
      <w:r>
        <w:rPr>
          <w:b/>
          <w:bCs/>
        </w:rPr>
        <w:t>Оперативни мониторинг:</w:t>
      </w:r>
      <w:r>
        <w:t xml:space="preserve"> спроводи се месечно од стране </w:t>
      </w:r>
      <w:r>
        <w:rPr>
          <w:i/>
        </w:rPr>
        <w:t>PMO</w:t>
      </w:r>
      <w:r>
        <w:t xml:space="preserve"> и финансијско-контролне службе. Обухвата реализацију </w:t>
      </w:r>
      <w:r>
        <w:rPr>
          <w:i/>
        </w:rPr>
        <w:t>KPI</w:t>
      </w:r>
      <w:r>
        <w:t>-ева по капацитетима, приходима, заузетости соба и искоришћености терапијских слотова.</w:t>
      </w:r>
    </w:p>
    <w:p w14:paraId="0557676B">
      <w:pPr>
        <w:pStyle w:val="3"/>
        <w:numPr>
          <w:ilvl w:val="0"/>
          <w:numId w:val="39"/>
        </w:numPr>
        <w:jc w:val="both"/>
      </w:pPr>
      <w:r>
        <w:rPr>
          <w:b/>
          <w:bCs/>
        </w:rPr>
        <w:t>Квартални мониторинг:</w:t>
      </w:r>
      <w:r>
        <w:t xml:space="preserve"> реализује се кроз извештаје Комитета за ризике и Комерцијалног савета, са фокусом на остварење стратешких циљева и управљање ризицима.</w:t>
      </w:r>
    </w:p>
    <w:p w14:paraId="0527287A">
      <w:pPr>
        <w:pStyle w:val="3"/>
        <w:numPr>
          <w:ilvl w:val="0"/>
          <w:numId w:val="39"/>
        </w:numPr>
        <w:spacing w:after="240"/>
        <w:jc w:val="both"/>
      </w:pPr>
      <w:r>
        <w:rPr>
          <w:b/>
          <w:bCs/>
        </w:rPr>
        <w:t>Годишњи мониторинг:</w:t>
      </w:r>
      <w:r>
        <w:t xml:space="preserve"> укључује свеобухватну евалуацију резултата, поређење са планираним циљним вредностима и предлог корективних активности за наредну годину.</w:t>
      </w:r>
    </w:p>
    <w:p w14:paraId="4A487110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Извештавање:</w:t>
      </w:r>
    </w:p>
    <w:p w14:paraId="58265B1D">
      <w:pPr>
        <w:pStyle w:val="3"/>
        <w:numPr>
          <w:ilvl w:val="0"/>
          <w:numId w:val="40"/>
        </w:numPr>
        <w:spacing w:before="240"/>
        <w:jc w:val="both"/>
      </w:pPr>
      <w:r>
        <w:rPr>
          <w:b/>
          <w:bCs/>
        </w:rPr>
        <w:t>Интерно извештавање:</w:t>
      </w:r>
      <w:r>
        <w:t xml:space="preserve"> Директор прима месечне и кварталне извештаје </w:t>
      </w:r>
      <w:r>
        <w:rPr>
          <w:i/>
        </w:rPr>
        <w:t>PMO</w:t>
      </w:r>
      <w:r>
        <w:t>, финансија и комерцијалног сектора. Сви извештаји се презентују и Управном одбору.</w:t>
      </w:r>
    </w:p>
    <w:p w14:paraId="52823B61">
      <w:pPr>
        <w:pStyle w:val="3"/>
        <w:numPr>
          <w:ilvl w:val="0"/>
          <w:numId w:val="40"/>
        </w:numPr>
        <w:spacing w:after="240"/>
        <w:jc w:val="both"/>
      </w:pPr>
      <w:r>
        <w:rPr>
          <w:b/>
          <w:bCs/>
        </w:rPr>
        <w:t>Екстерно извештавање:</w:t>
      </w:r>
      <w:r>
        <w:t xml:space="preserve"> У складу са захтевима Министарства здравља и других институција, болница доставља полугодишње и годишње извештаје са јасно назначеним </w:t>
      </w:r>
      <w:r>
        <w:rPr>
          <w:i/>
        </w:rPr>
        <w:t>KPI</w:t>
      </w:r>
      <w:r>
        <w:t xml:space="preserve"> резултатима, инвестиционим активностима и оствареном попуњеношћу капацитета.</w:t>
      </w:r>
    </w:p>
    <w:p w14:paraId="692CDBE4">
      <w:pPr>
        <w:pStyle w:val="3"/>
        <w:spacing w:before="240" w:after="240"/>
        <w:jc w:val="both"/>
      </w:pPr>
      <w:r>
        <w:rPr>
          <w:b/>
          <w:bCs/>
        </w:rPr>
        <w:t>Дигитални алати:</w:t>
      </w:r>
      <w:r>
        <w:t xml:space="preserve"> Планирано је успостављање интегрисаног </w:t>
      </w:r>
      <w:r>
        <w:rPr>
          <w:i/>
        </w:rPr>
        <w:t>dashboard</w:t>
      </w:r>
      <w:r>
        <w:t xml:space="preserve"> система који омогућава визуелизацију </w:t>
      </w:r>
      <w:r>
        <w:rPr>
          <w:i/>
        </w:rPr>
        <w:t>KPI</w:t>
      </w:r>
      <w:r>
        <w:t>-ева у реалном времену (попуњеност, приход по доступном кревету, задовољство корисника, репутациони индекси).</w:t>
      </w:r>
    </w:p>
    <w:p w14:paraId="78FCA9FE">
      <w:pPr>
        <w:pStyle w:val="3"/>
        <w:spacing w:before="240" w:after="240"/>
        <w:jc w:val="both"/>
      </w:pPr>
      <w:r>
        <w:t>Овакав систем обезбеђује да се стратешки план не посматра као статичан документ, већ као динамичан процес који се континуирано мери, прилагођава и унапређује током читавог периода имплементације.</w:t>
      </w:r>
    </w:p>
    <w:p w14:paraId="10127242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72" w:name="_547i2zb4ngn2" w:colFirst="0" w:colLast="0"/>
      <w:bookmarkEnd w:id="72"/>
      <w:r>
        <w:br w:type="page"/>
      </w:r>
    </w:p>
    <w:p w14:paraId="2EB6008E">
      <w:pPr>
        <w:pStyle w:val="4"/>
        <w:keepNext w:val="0"/>
        <w:keepLines w:val="0"/>
        <w:spacing w:before="280"/>
        <w:jc w:val="both"/>
        <w:rPr>
          <w:b/>
          <w:bCs/>
        </w:rPr>
      </w:pPr>
      <w:bookmarkStart w:id="73" w:name="_oopszbj8nz3m" w:colFirst="0" w:colLast="0"/>
      <w:bookmarkEnd w:id="73"/>
      <w:r>
        <w:rPr>
          <w:b/>
          <w:bCs/>
        </w:rPr>
        <w:t>15. Буџет и финансирање</w:t>
      </w:r>
    </w:p>
    <w:p w14:paraId="1740125E">
      <w:pPr>
        <w:pStyle w:val="3"/>
        <w:spacing w:before="240" w:after="240"/>
        <w:jc w:val="both"/>
      </w:pPr>
      <w:r>
        <w:t>Ефикасна реализација стратешког плана захтева јасно дефинисан и реално процењен буџет, као и диверзификоване изворе финансирања. Буџет представља основни инструмент за спровођење свих предвиђених иницијатива и мора бити усклађен са пројектним фазама и приоритетима.</w:t>
      </w:r>
    </w:p>
    <w:p w14:paraId="100D5E44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Структура буџета:</w:t>
      </w:r>
    </w:p>
    <w:p w14:paraId="6BE6206E">
      <w:pPr>
        <w:pStyle w:val="3"/>
        <w:numPr>
          <w:ilvl w:val="0"/>
          <w:numId w:val="41"/>
        </w:numPr>
        <w:spacing w:before="240"/>
        <w:jc w:val="both"/>
      </w:pPr>
      <w:r>
        <w:rPr>
          <w:b/>
          <w:bCs/>
        </w:rPr>
        <w:t>Капиталне инвестиције:</w:t>
      </w:r>
      <w:r>
        <w:t xml:space="preserve"> реконструкција и адаптација објеката (Стари Завод, Нови Завод, Сокоград), модернизација терапијских сала, енергетска ефикасност и дигитална инфраструктура.</w:t>
      </w:r>
    </w:p>
    <w:p w14:paraId="767711F8">
      <w:pPr>
        <w:pStyle w:val="3"/>
        <w:numPr>
          <w:ilvl w:val="0"/>
          <w:numId w:val="41"/>
        </w:numPr>
        <w:jc w:val="both"/>
      </w:pPr>
      <w:r>
        <w:rPr>
          <w:b/>
          <w:bCs/>
        </w:rPr>
        <w:t>Оперативни трошкови:</w:t>
      </w:r>
      <w:r>
        <w:t xml:space="preserve"> плате и обуке кадра за </w:t>
      </w:r>
      <w:r>
        <w:rPr>
          <w:i/>
        </w:rPr>
        <w:t>marketing</w:t>
      </w:r>
      <w:r>
        <w:t xml:space="preserve"> и продају, одржавање </w:t>
      </w:r>
      <w:r>
        <w:rPr>
          <w:i/>
        </w:rPr>
        <w:t>CRM</w:t>
      </w:r>
      <w:r>
        <w:t xml:space="preserve"> система, маркетиншке кампање, Б2Б и туристичке сарадње.</w:t>
      </w:r>
    </w:p>
    <w:p w14:paraId="50F95A98">
      <w:pPr>
        <w:pStyle w:val="3"/>
        <w:numPr>
          <w:ilvl w:val="0"/>
          <w:numId w:val="41"/>
        </w:numPr>
        <w:jc w:val="both"/>
      </w:pPr>
      <w:r>
        <w:rPr>
          <w:b/>
          <w:bCs/>
        </w:rPr>
        <w:t>Трошкови промоције и брендирања:</w:t>
      </w:r>
      <w:r>
        <w:t xml:space="preserve"> вишеканалне кампање, учешће на међународним сајмовима здравственог туризма, штампани и дигитални промотивни материјали.</w:t>
      </w:r>
    </w:p>
    <w:p w14:paraId="09154AAB">
      <w:pPr>
        <w:pStyle w:val="3"/>
        <w:numPr>
          <w:ilvl w:val="0"/>
          <w:numId w:val="41"/>
        </w:numPr>
        <w:spacing w:after="240"/>
        <w:jc w:val="both"/>
      </w:pPr>
      <w:r>
        <w:rPr>
          <w:b/>
          <w:bCs/>
        </w:rPr>
        <w:t>Резервни фонд:</w:t>
      </w:r>
      <w:r>
        <w:t xml:space="preserve"> намењен хитним поправкама, непредвиђеним хаваријама и покрићу ризика у току инвестиција.</w:t>
      </w:r>
    </w:p>
    <w:p w14:paraId="10DE469C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Извори финансирања:</w:t>
      </w:r>
    </w:p>
    <w:p w14:paraId="3A4782E6">
      <w:pPr>
        <w:pStyle w:val="3"/>
        <w:numPr>
          <w:ilvl w:val="0"/>
          <w:numId w:val="42"/>
        </w:numPr>
        <w:spacing w:before="240"/>
        <w:jc w:val="both"/>
      </w:pPr>
      <w:r>
        <w:rPr>
          <w:b/>
          <w:bCs/>
        </w:rPr>
        <w:t>Буџет Републике Србије:</w:t>
      </w:r>
      <w:r>
        <w:t xml:space="preserve"> путем Министарства здравља и Министарства за јавна улагања.</w:t>
      </w:r>
    </w:p>
    <w:p w14:paraId="64757C2E">
      <w:pPr>
        <w:pStyle w:val="3"/>
        <w:numPr>
          <w:ilvl w:val="0"/>
          <w:numId w:val="42"/>
        </w:numPr>
        <w:jc w:val="both"/>
      </w:pPr>
      <w:r>
        <w:rPr>
          <w:b/>
          <w:bCs/>
        </w:rPr>
        <w:t>Републички фонд за здравствено осигурање:</w:t>
      </w:r>
      <w:r>
        <w:t xml:space="preserve"> за инвестиције које утичу на квалитет здравствене услуге.</w:t>
      </w:r>
    </w:p>
    <w:p w14:paraId="0A29ED9F">
      <w:pPr>
        <w:pStyle w:val="3"/>
        <w:numPr>
          <w:ilvl w:val="0"/>
          <w:numId w:val="42"/>
        </w:numPr>
        <w:jc w:val="both"/>
      </w:pPr>
      <w:r>
        <w:rPr>
          <w:b/>
          <w:bCs/>
        </w:rPr>
        <w:t>Међународни фондови и грантови:</w:t>
      </w:r>
      <w:r>
        <w:t xml:space="preserve"> </w:t>
      </w:r>
      <w:r>
        <w:rPr>
          <w:i/>
        </w:rPr>
        <w:t>IPA</w:t>
      </w:r>
      <w:r>
        <w:t xml:space="preserve"> фондови, </w:t>
      </w:r>
      <w:r>
        <w:rPr>
          <w:i/>
        </w:rPr>
        <w:t>EU</w:t>
      </w:r>
      <w:r>
        <w:t xml:space="preserve"> пројекти за здравствени и одрживи туризам.</w:t>
      </w:r>
    </w:p>
    <w:p w14:paraId="058D9860">
      <w:pPr>
        <w:pStyle w:val="3"/>
        <w:numPr>
          <w:ilvl w:val="0"/>
          <w:numId w:val="42"/>
        </w:numPr>
        <w:jc w:val="both"/>
      </w:pPr>
      <w:r>
        <w:rPr>
          <w:b/>
          <w:bCs/>
        </w:rPr>
        <w:t xml:space="preserve">Локална самоуправа и </w:t>
      </w:r>
      <w:r>
        <w:rPr>
          <w:b/>
          <w:bCs/>
          <w:i/>
        </w:rPr>
        <w:t>TO</w:t>
      </w:r>
      <w:r>
        <w:rPr>
          <w:b/>
          <w:bCs/>
        </w:rPr>
        <w:t xml:space="preserve"> Сокобања:</w:t>
      </w:r>
      <w:r>
        <w:t xml:space="preserve"> суфинансирање промотивних активности.</w:t>
      </w:r>
    </w:p>
    <w:p w14:paraId="241B436A">
      <w:pPr>
        <w:pStyle w:val="3"/>
        <w:numPr>
          <w:ilvl w:val="0"/>
          <w:numId w:val="42"/>
        </w:numPr>
        <w:jc w:val="both"/>
      </w:pPr>
      <w:r>
        <w:rPr>
          <w:b/>
          <w:bCs/>
        </w:rPr>
        <w:t>Сопствени приходи:</w:t>
      </w:r>
      <w:r>
        <w:t xml:space="preserve"> повећање прихода од комерцијалних капацитета, реинвестирање профита.</w:t>
      </w:r>
    </w:p>
    <w:p w14:paraId="44F5F740">
      <w:pPr>
        <w:pStyle w:val="3"/>
        <w:numPr>
          <w:ilvl w:val="0"/>
          <w:numId w:val="42"/>
        </w:numPr>
        <w:spacing w:after="240"/>
        <w:jc w:val="both"/>
      </w:pPr>
      <w:r>
        <w:rPr>
          <w:b/>
          <w:bCs/>
        </w:rPr>
        <w:t>Јавно-приватна партнерства:</w:t>
      </w:r>
      <w:r>
        <w:t xml:space="preserve"> посебно за енергетске пројекте и </w:t>
      </w:r>
      <w:r>
        <w:rPr>
          <w:i/>
        </w:rPr>
        <w:t>wellness</w:t>
      </w:r>
      <w:r>
        <w:t xml:space="preserve"> програме.</w:t>
      </w:r>
    </w:p>
    <w:p w14:paraId="2B1B1F81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Финансијско планирање и контрола:</w:t>
      </w:r>
    </w:p>
    <w:p w14:paraId="4A9455C1">
      <w:pPr>
        <w:pStyle w:val="3"/>
        <w:numPr>
          <w:ilvl w:val="0"/>
          <w:numId w:val="43"/>
        </w:numPr>
        <w:spacing w:before="240"/>
        <w:jc w:val="both"/>
      </w:pPr>
      <w:r>
        <w:t>Буџет се планира за четворогодишњи период (2026–2029) уз годишње ребалансе.</w:t>
      </w:r>
    </w:p>
    <w:p w14:paraId="37AAA84D">
      <w:pPr>
        <w:pStyle w:val="3"/>
        <w:numPr>
          <w:ilvl w:val="0"/>
          <w:numId w:val="43"/>
        </w:numPr>
        <w:jc w:val="both"/>
      </w:pPr>
      <w:r>
        <w:t>Сваки пројекат има свој мини-буџет, са одговорним носиоцем (</w:t>
      </w:r>
      <w:r>
        <w:rPr>
          <w:i/>
        </w:rPr>
        <w:t>PMO</w:t>
      </w:r>
      <w:r>
        <w:t xml:space="preserve"> или сектори).</w:t>
      </w:r>
    </w:p>
    <w:p w14:paraId="29076DFC">
      <w:pPr>
        <w:pStyle w:val="3"/>
        <w:numPr>
          <w:ilvl w:val="0"/>
          <w:numId w:val="43"/>
        </w:numPr>
        <w:jc w:val="both"/>
      </w:pPr>
      <w:r>
        <w:t>Квартални финансијски извештаји укључују праћење извршења буџета, одступања и предлог корективних мера.</w:t>
      </w:r>
    </w:p>
    <w:p w14:paraId="1D13387D">
      <w:pPr>
        <w:pStyle w:val="3"/>
        <w:numPr>
          <w:ilvl w:val="0"/>
          <w:numId w:val="43"/>
        </w:numPr>
        <w:spacing w:after="240"/>
        <w:jc w:val="both"/>
      </w:pPr>
      <w:r>
        <w:t>Контрола врши финансијско-контролна служба, а надзор Управни одбор.</w:t>
      </w:r>
    </w:p>
    <w:p w14:paraId="056AC205">
      <w:pPr>
        <w:pStyle w:val="3"/>
        <w:spacing w:before="240" w:after="240"/>
        <w:jc w:val="both"/>
      </w:pPr>
      <w:r>
        <w:t>Овај оквир буџетирања омогућава да се стратешке иницијативе реализују уз финансијску одрживост, транспарентност и максималну ефикасност коришћења ресурса.</w:t>
      </w:r>
    </w:p>
    <w:p w14:paraId="6BA1EC8A">
      <w:pPr>
        <w:pStyle w:val="3"/>
        <w:spacing w:before="240" w:after="240"/>
        <w:jc w:val="both"/>
      </w:pPr>
    </w:p>
    <w:p w14:paraId="3DFC6936">
      <w:pPr>
        <w:pStyle w:val="5"/>
        <w:keepNext w:val="0"/>
        <w:keepLines w:val="0"/>
        <w:spacing w:before="280"/>
        <w:jc w:val="both"/>
        <w:rPr>
          <w:b/>
          <w:bCs/>
        </w:rPr>
      </w:pPr>
      <w:bookmarkStart w:id="74" w:name="_ffs2mnl7khj0" w:colFirst="0" w:colLast="0"/>
      <w:bookmarkEnd w:id="74"/>
      <w:bookmarkStart w:id="75" w:name="_v9lwgac4b9x6" w:colFirst="0" w:colLast="0"/>
      <w:bookmarkEnd w:id="75"/>
      <w:r>
        <w:rPr>
          <w:b/>
          <w:bCs/>
        </w:rPr>
        <w:t>16. Стандарди квалитета и усклађеност</w:t>
      </w:r>
    </w:p>
    <w:p w14:paraId="175D18DB">
      <w:pPr>
        <w:pStyle w:val="3"/>
        <w:spacing w:before="240" w:after="240"/>
        <w:jc w:val="both"/>
      </w:pPr>
      <w:r>
        <w:t>Стандарди квалитета и регулаторна усклађеност представљају кључне стубове за одрживи развој Специјалне болнице Сокобања и унапређење њеног положаја у области здравственог туризма. Усклађеност са међународним, националним и локалним стандардима обезбеђује не само правну сигурност, већ и конкурентску предност кроз препознат квалитет услуга.</w:t>
      </w:r>
    </w:p>
    <w:p w14:paraId="698F5409">
      <w:pPr>
        <w:pStyle w:val="3"/>
        <w:spacing w:before="240" w:after="240"/>
        <w:jc w:val="both"/>
      </w:pPr>
      <w:r>
        <w:rPr>
          <w:b/>
          <w:bCs/>
        </w:rPr>
        <w:t>Међународни стандарди:</w:t>
      </w:r>
      <w:r>
        <w:t xml:space="preserve"> Болница ће тежити сертификацији према стандардима као што су </w:t>
      </w:r>
      <w:r>
        <w:rPr>
          <w:i/>
        </w:rPr>
        <w:t>ISO</w:t>
      </w:r>
      <w:r>
        <w:t xml:space="preserve"> 9001 (управљање квалитетом), </w:t>
      </w:r>
      <w:r>
        <w:rPr>
          <w:i/>
        </w:rPr>
        <w:t>ISO</w:t>
      </w:r>
      <w:r>
        <w:t xml:space="preserve"> 14001 (управљање животном средином) и </w:t>
      </w:r>
      <w:r>
        <w:rPr>
          <w:i/>
        </w:rPr>
        <w:t>ISO</w:t>
      </w:r>
      <w:r>
        <w:t xml:space="preserve"> 45001 (безбедност и здравље на раду). Такође, биће размотрена акредитација од стране Јоинт Цоммиссион Интернатионал (</w:t>
      </w:r>
      <w:r>
        <w:rPr>
          <w:i/>
        </w:rPr>
        <w:t>JCI</w:t>
      </w:r>
      <w:r>
        <w:t>) за здравствени туризам, што би позиционирало Сокобању на глобалној мапи.</w:t>
      </w:r>
    </w:p>
    <w:p w14:paraId="3A97CC3D">
      <w:pPr>
        <w:pStyle w:val="3"/>
        <w:spacing w:before="240" w:after="240"/>
        <w:jc w:val="both"/>
      </w:pPr>
      <w:r>
        <w:rPr>
          <w:b/>
          <w:bCs/>
        </w:rPr>
        <w:t>Национални стандарди:</w:t>
      </w:r>
      <w:r>
        <w:t xml:space="preserve"> Неопходна је потпуна усклађеност са захтевима Министарства здравља, Закона о здравственој заштити и Закона о туризму. Посебна пажња посветиће се акредитационим захтевима Агенције за акредитацију здравствених установа Србије (</w:t>
      </w:r>
      <w:r>
        <w:rPr>
          <w:i/>
        </w:rPr>
        <w:t>AZUS</w:t>
      </w:r>
      <w:r>
        <w:t>).</w:t>
      </w:r>
    </w:p>
    <w:p w14:paraId="6C831A5F">
      <w:pPr>
        <w:pStyle w:val="3"/>
        <w:spacing w:before="240" w:after="240"/>
        <w:jc w:val="both"/>
      </w:pPr>
      <w:r>
        <w:rPr>
          <w:b/>
          <w:bCs/>
        </w:rPr>
        <w:t>Локални стандарди и прописи:</w:t>
      </w:r>
      <w:r>
        <w:t xml:space="preserve"> У сарадњи са општином Сокобања и Туристичком организацијом, болница ће примењивати локалне стандарде одрживости и заштите културног наслеђа, имајући у виду историјску и туристичку вредност објеката (нпр. Амам, Бањица).</w:t>
      </w:r>
    </w:p>
    <w:p w14:paraId="7C97A306">
      <w:pPr>
        <w:pStyle w:val="3"/>
        <w:spacing w:before="240" w:after="240"/>
        <w:jc w:val="both"/>
      </w:pPr>
      <w:r>
        <w:rPr>
          <w:b/>
          <w:bCs/>
        </w:rPr>
        <w:t>Интерни стандарди квалитета:</w:t>
      </w:r>
      <w:r>
        <w:t xml:space="preserve"> Биће успостављени стандардни оперативни поступци (</w:t>
      </w:r>
      <w:r>
        <w:rPr>
          <w:i/>
        </w:rPr>
        <w:t>SOP</w:t>
      </w:r>
      <w:r>
        <w:t xml:space="preserve">) за све кључне процесе: пријем пацијената, терапијске процедуре, хигијену, безбедност, рад са дигиталним системима и корисничку подршку. </w:t>
      </w:r>
      <w:r>
        <w:rPr>
          <w:i/>
        </w:rPr>
        <w:t>SOP</w:t>
      </w:r>
      <w:r>
        <w:t xml:space="preserve"> ће се редовно ажурирати на основу повратних информација и евалуације перформанси.</w:t>
      </w:r>
    </w:p>
    <w:p w14:paraId="60560867">
      <w:pPr>
        <w:pStyle w:val="3"/>
        <w:spacing w:before="240" w:after="240"/>
        <w:jc w:val="both"/>
      </w:pPr>
      <w:r>
        <w:rPr>
          <w:b/>
          <w:bCs/>
        </w:rPr>
        <w:t>Контрола и сертификација:</w:t>
      </w:r>
      <w:r>
        <w:t xml:space="preserve"> Планирано је спровођење годишњих интерних аудита, као и периодичних екстерних провера од стране акредитационих тела. Сваки одељак болнице биће укључен у процес самоевалуације.</w:t>
      </w:r>
    </w:p>
    <w:p w14:paraId="5F8D2E8F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Циљеви усклађености и квалитета:</w:t>
      </w:r>
    </w:p>
    <w:p w14:paraId="4640074E">
      <w:pPr>
        <w:pStyle w:val="3"/>
        <w:numPr>
          <w:ilvl w:val="0"/>
          <w:numId w:val="44"/>
        </w:numPr>
        <w:spacing w:before="240"/>
        <w:jc w:val="both"/>
      </w:pPr>
      <w:r>
        <w:t xml:space="preserve">До краја 2026. постићи </w:t>
      </w:r>
      <w:r>
        <w:rPr>
          <w:i/>
        </w:rPr>
        <w:t>ISO</w:t>
      </w:r>
      <w:r>
        <w:t xml:space="preserve"> 9001 сертификат.</w:t>
      </w:r>
    </w:p>
    <w:p w14:paraId="21650FA2">
      <w:pPr>
        <w:pStyle w:val="3"/>
        <w:numPr>
          <w:ilvl w:val="0"/>
          <w:numId w:val="44"/>
        </w:numPr>
        <w:jc w:val="both"/>
      </w:pPr>
      <w:r>
        <w:t xml:space="preserve">До 2027. сертификација </w:t>
      </w:r>
      <w:r>
        <w:rPr>
          <w:i/>
        </w:rPr>
        <w:t>ISO</w:t>
      </w:r>
      <w:r>
        <w:t xml:space="preserve"> 14001 и 45001.</w:t>
      </w:r>
    </w:p>
    <w:p w14:paraId="3D157A97">
      <w:pPr>
        <w:pStyle w:val="3"/>
        <w:numPr>
          <w:ilvl w:val="0"/>
          <w:numId w:val="44"/>
        </w:numPr>
        <w:jc w:val="both"/>
      </w:pPr>
      <w:r>
        <w:t xml:space="preserve">До краја 2028. припрема за </w:t>
      </w:r>
      <w:r>
        <w:rPr>
          <w:i/>
        </w:rPr>
        <w:t>JCI</w:t>
      </w:r>
      <w:r>
        <w:t xml:space="preserve"> акредитацију.</w:t>
      </w:r>
    </w:p>
    <w:p w14:paraId="7C0CCA4B">
      <w:pPr>
        <w:pStyle w:val="3"/>
        <w:numPr>
          <w:ilvl w:val="0"/>
          <w:numId w:val="44"/>
        </w:numPr>
        <w:spacing w:after="240"/>
        <w:jc w:val="both"/>
      </w:pPr>
      <w:r>
        <w:t xml:space="preserve">Редовне акредитације код </w:t>
      </w:r>
      <w:r>
        <w:rPr>
          <w:i/>
        </w:rPr>
        <w:t>AZUS</w:t>
      </w:r>
      <w:r>
        <w:t>-а и сертификати Министарства здравља.</w:t>
      </w:r>
    </w:p>
    <w:p w14:paraId="11B99E7A">
      <w:pPr>
        <w:pStyle w:val="3"/>
        <w:spacing w:before="240" w:after="240"/>
        <w:jc w:val="both"/>
      </w:pPr>
      <w:r>
        <w:t>На овај начин, Специјална болница Сокобања не само да ће испунити регулаторне захтеве, већ ће подићи ниво услуга на стандарде светске класе, чиме ће додатно повећати атрактивност својих комерцијалних капацитета и осигурати одрживи раст у сектору здравственог туризма.</w:t>
      </w:r>
    </w:p>
    <w:p w14:paraId="19017248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76" w:name="_kmlwziqlzkle" w:colFirst="0" w:colLast="0"/>
      <w:bookmarkEnd w:id="76"/>
    </w:p>
    <w:p w14:paraId="678A0454">
      <w:pPr>
        <w:pStyle w:val="4"/>
        <w:keepNext w:val="0"/>
        <w:keepLines w:val="0"/>
        <w:spacing w:before="280"/>
        <w:jc w:val="both"/>
        <w:rPr>
          <w:b/>
          <w:bCs/>
        </w:rPr>
      </w:pPr>
      <w:bookmarkStart w:id="77" w:name="_jv05q25msvtz" w:colFirst="0" w:colLast="0"/>
      <w:bookmarkEnd w:id="77"/>
      <w:r>
        <w:rPr>
          <w:b/>
          <w:bCs/>
        </w:rPr>
        <w:t>17. Оквир за имплементацију (2026–2029) – преглед активности по кварталима</w:t>
      </w:r>
    </w:p>
    <w:p w14:paraId="34D4F1FE">
      <w:pPr>
        <w:pStyle w:val="3"/>
        <w:jc w:val="both"/>
      </w:pPr>
    </w:p>
    <w:tbl>
      <w:tblPr>
        <w:tblStyle w:val="19"/>
        <w:tblW w:w="9360" w:type="dxa"/>
        <w:tblInd w:w="0" w:type="dxa"/>
        <w:tblBorders>
          <w:top w:val="single" w:color="000000" w:sz="6" w:space="0"/>
          <w:left w:val="single" w:color="000000" w:sz="6" w:space="0"/>
          <w:bottom w:val="single" w:color="000000" w:sz="6" w:space="0"/>
          <w:right w:val="sing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305"/>
        <w:gridCol w:w="2145"/>
        <w:gridCol w:w="1860"/>
        <w:gridCol w:w="2190"/>
        <w:gridCol w:w="1860"/>
      </w:tblGrid>
      <w:tr w14:paraId="762EE13E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05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547131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Год./Кв.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874F6D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Инвестиције/Објекти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FECE49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Продаја &amp; </w:t>
            </w:r>
            <w:r>
              <w:rPr>
                <w:b/>
                <w:bCs/>
                <w:i/>
                <w:sz w:val="20"/>
                <w:szCs w:val="20"/>
              </w:rPr>
              <w:t>Marketing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3C7725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Операције/Терапије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EFEFEF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B3C239">
            <w:pPr>
              <w:pStyle w:val="3"/>
              <w:jc w:val="both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Управљање &amp; Извештавање</w:t>
            </w:r>
          </w:p>
        </w:tc>
      </w:tr>
      <w:tr w14:paraId="5CE000B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104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83EDD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2026/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498903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Тендер за реконструкцију; план зимског режима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19FB74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Тим формиран; </w:t>
            </w:r>
            <w:r>
              <w:rPr>
                <w:i/>
                <w:sz w:val="18"/>
                <w:szCs w:val="18"/>
              </w:rPr>
              <w:t>booking</w:t>
            </w:r>
            <w:r>
              <w:rPr>
                <w:sz w:val="18"/>
                <w:szCs w:val="18"/>
              </w:rPr>
              <w:t xml:space="preserve"> </w:t>
            </w:r>
            <w:r>
              <w:rPr>
                <w:i/>
                <w:sz w:val="18"/>
                <w:szCs w:val="18"/>
              </w:rPr>
              <w:t>engine</w:t>
            </w:r>
            <w:r>
              <w:rPr>
                <w:sz w:val="18"/>
                <w:szCs w:val="18"/>
              </w:rPr>
              <w:t xml:space="preserve"> избор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D04FEE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SOP</w:t>
            </w:r>
            <w:r>
              <w:rPr>
                <w:sz w:val="18"/>
                <w:szCs w:val="18"/>
              </w:rPr>
              <w:t xml:space="preserve"> ревизија; план слотова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97568C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Постављен комерцијални П&amp;Л</w:t>
            </w:r>
          </w:p>
        </w:tc>
      </w:tr>
      <w:tr w14:paraId="4474068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104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884DB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2026/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1B1CA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Старт реконструкције приоритетних соба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27406E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Лансирање 3 пакета; </w:t>
            </w:r>
            <w:r>
              <w:rPr>
                <w:i/>
                <w:sz w:val="18"/>
                <w:szCs w:val="18"/>
              </w:rPr>
              <w:t>SEO</w:t>
            </w:r>
            <w:r>
              <w:rPr>
                <w:sz w:val="18"/>
                <w:szCs w:val="18"/>
              </w:rPr>
              <w:t>/</w:t>
            </w:r>
            <w:r>
              <w:rPr>
                <w:i/>
                <w:sz w:val="18"/>
                <w:szCs w:val="18"/>
              </w:rPr>
              <w:t>SEM</w:t>
            </w:r>
            <w:r>
              <w:rPr>
                <w:sz w:val="18"/>
                <w:szCs w:val="18"/>
              </w:rPr>
              <w:t xml:space="preserve"> старт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DFAF46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Pilot</w:t>
            </w:r>
            <w:r>
              <w:rPr>
                <w:sz w:val="18"/>
                <w:szCs w:val="18"/>
              </w:rPr>
              <w:t xml:space="preserve"> распоред слотова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53FF40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Месечни </w:t>
            </w:r>
            <w:r>
              <w:rPr>
                <w:i/>
                <w:sz w:val="18"/>
                <w:szCs w:val="18"/>
              </w:rPr>
              <w:t>dashboard</w:t>
            </w:r>
            <w:r>
              <w:rPr>
                <w:sz w:val="18"/>
                <w:szCs w:val="18"/>
              </w:rPr>
              <w:t xml:space="preserve"> 1. верзија</w:t>
            </w:r>
          </w:p>
        </w:tc>
      </w:tr>
      <w:tr w14:paraId="69C2D28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104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2B3F70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2026/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2D6FB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Радови у току; набавке опреме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23E35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Б2Б оутреацх; агенцијски уговори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D5B0B0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Усклађивање капацитета соба/терапија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E8243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Квартални прицинг </w:t>
            </w:r>
            <w:r>
              <w:rPr>
                <w:i/>
                <w:sz w:val="18"/>
                <w:szCs w:val="18"/>
              </w:rPr>
              <w:t>review</w:t>
            </w:r>
          </w:p>
        </w:tc>
      </w:tr>
      <w:tr w14:paraId="13B711B8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13A93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2026/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4F557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Затварање фазе 1; план фазе 2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8F3A02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Офф-сеасон кампање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B12EF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Зимски режим без затварања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63F4E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Годишњи </w:t>
            </w:r>
            <w:r>
              <w:rPr>
                <w:i/>
                <w:sz w:val="18"/>
                <w:szCs w:val="18"/>
              </w:rPr>
              <w:t>KPI</w:t>
            </w:r>
            <w:r>
              <w:rPr>
                <w:sz w:val="18"/>
                <w:szCs w:val="18"/>
              </w:rPr>
              <w:t xml:space="preserve"> извештај</w:t>
            </w:r>
          </w:p>
        </w:tc>
      </w:tr>
      <w:tr w14:paraId="797C19C5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2F847A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2027/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1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FA24D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Фаза 2 радова (Стари Завод)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645B4C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Premium</w:t>
            </w:r>
            <w:r>
              <w:rPr>
                <w:sz w:val="18"/>
                <w:szCs w:val="18"/>
              </w:rPr>
              <w:t xml:space="preserve"> собе &amp; пакети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0F2A8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Оптимизација </w:t>
            </w:r>
            <w:r>
              <w:rPr>
                <w:i/>
                <w:sz w:val="18"/>
                <w:szCs w:val="18"/>
              </w:rPr>
              <w:t>SOP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DE840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Буџет и циљеви 2027</w:t>
            </w:r>
          </w:p>
        </w:tc>
      </w:tr>
      <w:tr w14:paraId="5267B22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104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F585DE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2027/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2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1D4D5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Завршетак Старог Завода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2C1B0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10+ Б2Б уговора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16C10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Терапијски календар у </w:t>
            </w:r>
            <w:r>
              <w:rPr>
                <w:i/>
                <w:sz w:val="18"/>
                <w:szCs w:val="18"/>
              </w:rPr>
              <w:t>CRM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F7F465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Квартални инвестициони извештај</w:t>
            </w:r>
          </w:p>
        </w:tc>
      </w:tr>
      <w:tr w14:paraId="2D1499D3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29D4A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2027/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D133F6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Старт радова Нови Завод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C33DE9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Интернационалне кампање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2AC97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Повећање капацитета слотова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7EDDEC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Прицинг </w:t>
            </w:r>
            <w:r>
              <w:rPr>
                <w:i/>
                <w:sz w:val="18"/>
                <w:szCs w:val="18"/>
              </w:rPr>
              <w:t>review</w:t>
            </w:r>
          </w:p>
        </w:tc>
      </w:tr>
      <w:tr w14:paraId="31FAFAA7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5E0D7F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2027/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386C72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Фаза 2 завршена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A52AC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Офф-сеасон фокус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67EF1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Зимски режим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4B0491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Годишњи </w:t>
            </w:r>
            <w:r>
              <w:rPr>
                <w:i/>
                <w:sz w:val="18"/>
                <w:szCs w:val="18"/>
              </w:rPr>
              <w:t>KPI</w:t>
            </w:r>
            <w:r>
              <w:rPr>
                <w:sz w:val="18"/>
                <w:szCs w:val="18"/>
              </w:rPr>
              <w:t xml:space="preserve"> извештај</w:t>
            </w:r>
          </w:p>
        </w:tc>
      </w:tr>
      <w:tr w14:paraId="2ED74090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104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6EB98E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2028/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1–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D12ABE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Модернизација инхалаторијума/физикалне; завршеци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6190AB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Premium</w:t>
            </w:r>
            <w:r>
              <w:rPr>
                <w:sz w:val="18"/>
                <w:szCs w:val="18"/>
              </w:rPr>
              <w:t xml:space="preserve"> диференцијација; лојалти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F7BB33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Аутоматизације; сменски рад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D56D83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Полугодишње </w:t>
            </w:r>
            <w:r>
              <w:rPr>
                <w:i/>
                <w:sz w:val="18"/>
                <w:szCs w:val="18"/>
              </w:rPr>
              <w:t>HR</w:t>
            </w:r>
            <w:r>
              <w:rPr>
                <w:sz w:val="18"/>
                <w:szCs w:val="18"/>
              </w:rPr>
              <w:t>/</w:t>
            </w:r>
            <w:r>
              <w:rPr>
                <w:i/>
                <w:sz w:val="18"/>
                <w:szCs w:val="18"/>
              </w:rPr>
              <w:t>marketing</w:t>
            </w:r>
            <w:r>
              <w:rPr>
                <w:sz w:val="18"/>
                <w:szCs w:val="18"/>
              </w:rPr>
              <w:t xml:space="preserve"> евалуације</w:t>
            </w:r>
          </w:p>
        </w:tc>
      </w:tr>
      <w:tr w14:paraId="76C3FA42">
        <w:tblPrEx>
          <w:tblBorders>
            <w:top w:val="single" w:color="000000" w:sz="6" w:space="0"/>
            <w:left w:val="single" w:color="000000" w:sz="6" w:space="0"/>
            <w:bottom w:val="single" w:color="000000" w:sz="6" w:space="0"/>
            <w:right w:val="single" w:color="000000" w:sz="6" w:space="0"/>
            <w:insideH w:val="single" w:color="000000" w:sz="6" w:space="0"/>
            <w:insideV w:val="single" w:color="000000" w:sz="6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cantSplit/>
          <w:trHeight w:val="770" w:hRule="atLeast"/>
          <w:tblHeader/>
        </w:trPr>
        <w:tc>
          <w:tcPr>
            <w:tcW w:w="13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D4A577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2029/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1–</w:t>
            </w:r>
            <w:r>
              <w:rPr>
                <w:i/>
                <w:sz w:val="18"/>
                <w:szCs w:val="18"/>
              </w:rPr>
              <w:t>Q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214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DC6ED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i/>
                <w:sz w:val="18"/>
                <w:szCs w:val="18"/>
              </w:rPr>
              <w:t>Fine</w:t>
            </w:r>
            <w:r>
              <w:rPr>
                <w:sz w:val="18"/>
                <w:szCs w:val="18"/>
              </w:rPr>
              <w:t>-</w:t>
            </w:r>
            <w:r>
              <w:rPr>
                <w:i/>
                <w:sz w:val="18"/>
                <w:szCs w:val="18"/>
              </w:rPr>
              <w:t>tuning</w:t>
            </w:r>
            <w:r>
              <w:rPr>
                <w:sz w:val="18"/>
                <w:szCs w:val="18"/>
              </w:rPr>
              <w:t>; превентивно одржавање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95192D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међународна пројекта</w:t>
            </w:r>
          </w:p>
        </w:tc>
        <w:tc>
          <w:tcPr>
            <w:tcW w:w="21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F3C2D8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Стабилно 365</w:t>
            </w:r>
          </w:p>
        </w:tc>
        <w:tc>
          <w:tcPr>
            <w:tcW w:w="186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86ADBE">
            <w:pPr>
              <w:pStyle w:val="3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Консолидација и план 2030+</w:t>
            </w:r>
          </w:p>
        </w:tc>
      </w:tr>
    </w:tbl>
    <w:p w14:paraId="5764A492">
      <w:pPr>
        <w:pStyle w:val="3"/>
        <w:spacing w:before="240" w:after="240"/>
        <w:jc w:val="both"/>
      </w:pPr>
    </w:p>
    <w:p w14:paraId="4B0A52C6">
      <w:pPr>
        <w:pStyle w:val="5"/>
        <w:keepNext w:val="0"/>
        <w:keepLines w:val="0"/>
        <w:spacing w:before="280"/>
        <w:jc w:val="both"/>
        <w:rPr>
          <w:b/>
          <w:bCs/>
          <w:color w:val="auto"/>
          <w:sz w:val="36"/>
          <w:szCs w:val="36"/>
        </w:rPr>
      </w:pPr>
      <w:bookmarkStart w:id="78" w:name="_i9g3zj9hlf2e" w:colFirst="0" w:colLast="0"/>
      <w:bookmarkEnd w:id="78"/>
      <w:bookmarkStart w:id="79" w:name="_nc0bhqkrc9eb" w:colFirst="0" w:colLast="0"/>
      <w:bookmarkEnd w:id="79"/>
      <w:r>
        <w:rPr>
          <w:b/>
          <w:bCs/>
          <w:color w:val="auto"/>
          <w:sz w:val="36"/>
          <w:szCs w:val="36"/>
        </w:rPr>
        <w:t>18. Повезаност са националним и регионалним стратегијама</w:t>
      </w:r>
    </w:p>
    <w:p w14:paraId="661658AF">
      <w:pPr>
        <w:pStyle w:val="3"/>
        <w:spacing w:before="240" w:after="240"/>
        <w:jc w:val="both"/>
      </w:pPr>
      <w:r>
        <w:t>Специјална болница Сокобања позиционира свој стратешки план у складу са националним и регионалним развојним документима како би обезбедила усклађеност, легитимност и подршку институција.</w:t>
      </w:r>
    </w:p>
    <w:p w14:paraId="02551ADA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Национални оквир:</w:t>
      </w:r>
    </w:p>
    <w:p w14:paraId="15F3D88B">
      <w:pPr>
        <w:pStyle w:val="3"/>
        <w:numPr>
          <w:ilvl w:val="0"/>
          <w:numId w:val="45"/>
        </w:numPr>
        <w:spacing w:before="240"/>
        <w:jc w:val="both"/>
      </w:pPr>
      <w:r>
        <w:rPr>
          <w:b/>
          <w:bCs/>
        </w:rPr>
        <w:t>Национална стратегија развоја здравства 2021–2030</w:t>
      </w:r>
      <w:r>
        <w:t xml:space="preserve">: </w:t>
      </w:r>
      <w:r>
        <w:rPr>
          <w:i/>
        </w:rPr>
        <w:t>SB</w:t>
      </w:r>
      <w:r>
        <w:t xml:space="preserve"> Сокобања доприноси циљевима повећања доступности, квалитета и одрживог финансирања здравственог система.</w:t>
      </w:r>
    </w:p>
    <w:p w14:paraId="46C6FA94">
      <w:pPr>
        <w:pStyle w:val="3"/>
        <w:numPr>
          <w:ilvl w:val="0"/>
          <w:numId w:val="45"/>
        </w:numPr>
        <w:jc w:val="both"/>
      </w:pPr>
      <w:r>
        <w:rPr>
          <w:b/>
          <w:bCs/>
        </w:rPr>
        <w:t>Стратегија развоја туризма Републике Србије 2022–2027</w:t>
      </w:r>
      <w:r>
        <w:t>: унапређење здравственог туризма и продужење туристичке сезоне директно су у складу са циљевима стратегије.</w:t>
      </w:r>
    </w:p>
    <w:p w14:paraId="5A87E571">
      <w:pPr>
        <w:pStyle w:val="3"/>
        <w:numPr>
          <w:ilvl w:val="0"/>
          <w:numId w:val="45"/>
        </w:numPr>
        <w:spacing w:after="240"/>
        <w:jc w:val="both"/>
      </w:pPr>
      <w:r>
        <w:rPr>
          <w:b/>
          <w:bCs/>
        </w:rPr>
        <w:t>Национална стратегија за одрживи развој</w:t>
      </w:r>
      <w:r>
        <w:t>: пројекти енергетске ефикасности и очувања природних ресурса доприноси еколошкој одрживости.</w:t>
      </w:r>
    </w:p>
    <w:p w14:paraId="2A7A0C8C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Регионални и локални оквир:</w:t>
      </w:r>
    </w:p>
    <w:p w14:paraId="2740314D">
      <w:pPr>
        <w:pStyle w:val="3"/>
        <w:numPr>
          <w:ilvl w:val="0"/>
          <w:numId w:val="46"/>
        </w:numPr>
        <w:spacing w:before="240"/>
        <w:jc w:val="both"/>
      </w:pPr>
      <w:r>
        <w:rPr>
          <w:b/>
          <w:bCs/>
        </w:rPr>
        <w:t>План развоја општине Сокобања 2022–2030</w:t>
      </w:r>
      <w:r>
        <w:t>: предвиђа развој здравственог и бањског туризма као кључног стуба економског развоја.</w:t>
      </w:r>
    </w:p>
    <w:p w14:paraId="64B013AA">
      <w:pPr>
        <w:pStyle w:val="3"/>
        <w:numPr>
          <w:ilvl w:val="0"/>
          <w:numId w:val="46"/>
        </w:numPr>
        <w:spacing w:after="240"/>
        <w:jc w:val="both"/>
      </w:pPr>
      <w:r>
        <w:rPr>
          <w:b/>
          <w:bCs/>
        </w:rPr>
        <w:t>Туристичка организација Сокобања</w:t>
      </w:r>
      <w:r>
        <w:t xml:space="preserve">: </w:t>
      </w:r>
      <w:r>
        <w:rPr>
          <w:i/>
        </w:rPr>
        <w:t>SB</w:t>
      </w:r>
      <w:r>
        <w:t xml:space="preserve"> Сокобања сарађује на креирању заједничких промотивних пакета и међународних кампања.</w:t>
      </w:r>
    </w:p>
    <w:p w14:paraId="51EF3F8B">
      <w:pPr>
        <w:pStyle w:val="3"/>
        <w:spacing w:before="240" w:after="240"/>
        <w:jc w:val="both"/>
      </w:pPr>
      <w:r>
        <w:t xml:space="preserve">Јасно повезивање стратешких циљева </w:t>
      </w:r>
      <w:r>
        <w:rPr>
          <w:i/>
        </w:rPr>
        <w:t>SB</w:t>
      </w:r>
      <w:r>
        <w:t xml:space="preserve"> Сокобања са националним и регионалним документима омогућава приступ јавним фондовима, подршку државних институција и повећава легитимитет плана.</w:t>
      </w:r>
    </w:p>
    <w:p w14:paraId="626588B7">
      <w:pPr>
        <w:pStyle w:val="5"/>
        <w:keepNext w:val="0"/>
        <w:keepLines w:val="0"/>
        <w:spacing w:before="280"/>
        <w:jc w:val="both"/>
        <w:rPr>
          <w:b/>
          <w:bCs/>
          <w:color w:val="000000"/>
          <w:sz w:val="26"/>
          <w:szCs w:val="26"/>
        </w:rPr>
      </w:pPr>
      <w:bookmarkStart w:id="80" w:name="_43ctnk2f62b" w:colFirst="0" w:colLast="0"/>
      <w:bookmarkEnd w:id="80"/>
      <w:r>
        <w:br w:type="page"/>
      </w:r>
    </w:p>
    <w:p w14:paraId="6C3AD0C9">
      <w:pPr>
        <w:pStyle w:val="4"/>
        <w:keepNext w:val="0"/>
        <w:keepLines w:val="0"/>
        <w:spacing w:before="280"/>
        <w:jc w:val="both"/>
        <w:rPr>
          <w:b/>
          <w:bCs/>
        </w:rPr>
      </w:pPr>
      <w:bookmarkStart w:id="81" w:name="_7j85maftcyec" w:colFirst="0" w:colLast="0"/>
      <w:bookmarkEnd w:id="81"/>
      <w:r>
        <w:rPr>
          <w:b/>
          <w:bCs/>
        </w:rPr>
        <w:t>19. Напомена о континуитету и усклађености</w:t>
      </w:r>
    </w:p>
    <w:p w14:paraId="276895F9">
      <w:pPr>
        <w:pStyle w:val="3"/>
        <w:spacing w:before="240" w:after="240"/>
        <w:jc w:val="both"/>
      </w:pPr>
      <w:r>
        <w:t xml:space="preserve">Овај стратешки план израђен је у складу са захтевима ревизорског тела и стандардима које примењују здравствене установе у Србији и региону. План се заснива на принципу континуитета – </w:t>
      </w:r>
      <w:r>
        <w:rPr>
          <w:i/>
        </w:rPr>
        <w:t>on</w:t>
      </w:r>
      <w:r>
        <w:t xml:space="preserve"> не представља затворен документ, већ оквир који омогућава прилагођавање променама у окружењу, законодавству и тржишту.</w:t>
      </w:r>
    </w:p>
    <w:p w14:paraId="724E3B1C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Континуитет имплементације:</w:t>
      </w:r>
    </w:p>
    <w:p w14:paraId="3E3E9037">
      <w:pPr>
        <w:pStyle w:val="3"/>
        <w:numPr>
          <w:ilvl w:val="0"/>
          <w:numId w:val="47"/>
        </w:numPr>
        <w:spacing w:before="240"/>
        <w:jc w:val="both"/>
      </w:pPr>
      <w:r>
        <w:t>Стратешки циљеви из овог документа разрађују се сваке године кроз годишње програме рада и развоја, чиме се обезбеђује њихова оперативна примена и повезивање са буџетским планирањем.</w:t>
      </w:r>
    </w:p>
    <w:p w14:paraId="012F6F51">
      <w:pPr>
        <w:pStyle w:val="3"/>
        <w:numPr>
          <w:ilvl w:val="0"/>
          <w:numId w:val="47"/>
        </w:numPr>
        <w:spacing w:after="240"/>
        <w:jc w:val="both"/>
      </w:pPr>
      <w:r>
        <w:t xml:space="preserve">Сви сектори и организационе јединице </w:t>
      </w:r>
      <w:r>
        <w:rPr>
          <w:i/>
        </w:rPr>
        <w:t>SB</w:t>
      </w:r>
      <w:r>
        <w:t xml:space="preserve"> Сокобања обавезне су да своје оперативне планове ускладе са приоритетима и </w:t>
      </w:r>
      <w:r>
        <w:rPr>
          <w:i/>
        </w:rPr>
        <w:t>KPI</w:t>
      </w:r>
      <w:r>
        <w:t xml:space="preserve"> вредностима дефинисаним овим документом.</w:t>
      </w:r>
    </w:p>
    <w:p w14:paraId="13CE2808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Ревизија и прилагођавање:</w:t>
      </w:r>
    </w:p>
    <w:p w14:paraId="66E277D2">
      <w:pPr>
        <w:pStyle w:val="3"/>
        <w:numPr>
          <w:ilvl w:val="0"/>
          <w:numId w:val="48"/>
        </w:numPr>
        <w:spacing w:before="240"/>
        <w:jc w:val="both"/>
      </w:pPr>
      <w:r>
        <w:t>План је подложан средњорочној ревизији у 2028. години, како би се извршила процена постигнутих резултата и извршиле корекције у складу са:</w:t>
      </w:r>
    </w:p>
    <w:p w14:paraId="191BB27C">
      <w:pPr>
        <w:pStyle w:val="3"/>
        <w:numPr>
          <w:ilvl w:val="1"/>
          <w:numId w:val="48"/>
        </w:numPr>
        <w:jc w:val="both"/>
      </w:pPr>
      <w:r>
        <w:t>тржишним кретањима и трендовима у здравственом туризму,</w:t>
      </w:r>
    </w:p>
    <w:p w14:paraId="569AEC27">
      <w:pPr>
        <w:pStyle w:val="3"/>
        <w:numPr>
          <w:ilvl w:val="1"/>
          <w:numId w:val="48"/>
        </w:numPr>
        <w:jc w:val="both"/>
      </w:pPr>
      <w:r>
        <w:t>динамиком реализације инфраструктурних инвестиција,</w:t>
      </w:r>
    </w:p>
    <w:p w14:paraId="10627B59">
      <w:pPr>
        <w:pStyle w:val="3"/>
        <w:numPr>
          <w:ilvl w:val="1"/>
          <w:numId w:val="48"/>
        </w:numPr>
        <w:jc w:val="both"/>
      </w:pPr>
      <w:r>
        <w:t>стањем капацитета и потребама корисника,</w:t>
      </w:r>
    </w:p>
    <w:p w14:paraId="2D22BD61">
      <w:pPr>
        <w:pStyle w:val="3"/>
        <w:numPr>
          <w:ilvl w:val="1"/>
          <w:numId w:val="48"/>
        </w:numPr>
        <w:jc w:val="both"/>
      </w:pPr>
      <w:r>
        <w:t>изменама регулаторног оквира.</w:t>
      </w:r>
    </w:p>
    <w:p w14:paraId="28C806FC">
      <w:pPr>
        <w:pStyle w:val="3"/>
        <w:numPr>
          <w:ilvl w:val="0"/>
          <w:numId w:val="48"/>
        </w:numPr>
        <w:spacing w:after="240"/>
        <w:jc w:val="both"/>
      </w:pPr>
      <w:r>
        <w:t>Ревизија укључује и консултације са кључним екстерним актерима (Министарство здравља, Министарство туризма, Туристичка организација Сокобања, осигуравајуће куће, пословни партнери) како би се обезбедила шира валидација и усклађеност.</w:t>
      </w:r>
    </w:p>
    <w:p w14:paraId="1CC0B5BC">
      <w:pPr>
        <w:pStyle w:val="3"/>
        <w:spacing w:before="240" w:after="240"/>
        <w:jc w:val="both"/>
        <w:rPr>
          <w:b/>
          <w:bCs/>
        </w:rPr>
      </w:pPr>
      <w:r>
        <w:rPr>
          <w:b/>
          <w:bCs/>
        </w:rPr>
        <w:t>Усклађеност са вишим документима и политикама:</w:t>
      </w:r>
    </w:p>
    <w:p w14:paraId="2808AC03">
      <w:pPr>
        <w:pStyle w:val="3"/>
        <w:numPr>
          <w:ilvl w:val="0"/>
          <w:numId w:val="49"/>
        </w:numPr>
        <w:spacing w:before="240"/>
        <w:jc w:val="both"/>
      </w:pPr>
      <w:r>
        <w:t>План је усклађен са Националном стратегијом развоја здравства, Стратегијом развоја туризма Републике Србије и локалним развојним плановима општине Сокобања.</w:t>
      </w:r>
    </w:p>
    <w:p w14:paraId="6FBBCA33">
      <w:pPr>
        <w:pStyle w:val="3"/>
        <w:numPr>
          <w:ilvl w:val="0"/>
          <w:numId w:val="49"/>
        </w:numPr>
        <w:spacing w:after="240"/>
        <w:jc w:val="both"/>
      </w:pPr>
      <w:r>
        <w:t xml:space="preserve">Сви </w:t>
      </w:r>
      <w:r>
        <w:rPr>
          <w:i/>
        </w:rPr>
        <w:t>KPI</w:t>
      </w:r>
      <w:r>
        <w:t xml:space="preserve"> циљеви и мере имплементације прилагођени су циљевима одрживог развоја (СДГс), са посебним нагласком на здравље и благостање, одговорну потрошњу ресурса и партнерства за циљеве.</w:t>
      </w:r>
    </w:p>
    <w:p w14:paraId="124901F0">
      <w:pPr>
        <w:pStyle w:val="3"/>
        <w:spacing w:before="240" w:after="240"/>
        <w:jc w:val="both"/>
      </w:pPr>
      <w:r>
        <w:t>Овакав приступ осигурава да се стратешки план Специјалне болнице Сокобања посматра као динамичан и прилагодљив документ, чија примена непрекидно прати промене у здравственом и туристичком окружењу и омогућава болници да остане релевантна и конкурентна у наредном периоду.</w:t>
      </w:r>
    </w:p>
    <w:p w14:paraId="15DC0DF6">
      <w:pPr>
        <w:pStyle w:val="3"/>
        <w:spacing w:before="240" w:after="240"/>
        <w:jc w:val="both"/>
      </w:pPr>
      <w:r>
        <w:br w:type="page"/>
      </w:r>
    </w:p>
    <w:p w14:paraId="36104B91">
      <w:pPr>
        <w:pStyle w:val="4"/>
        <w:keepNext w:val="0"/>
        <w:keepLines w:val="0"/>
        <w:spacing w:before="280"/>
        <w:jc w:val="both"/>
        <w:rPr>
          <w:b/>
          <w:bCs/>
        </w:rPr>
      </w:pPr>
      <w:bookmarkStart w:id="82" w:name="_xq3pzhono2i4" w:colFirst="0" w:colLast="0"/>
      <w:bookmarkEnd w:id="82"/>
      <w:r>
        <w:rPr>
          <w:b/>
          <w:bCs/>
        </w:rPr>
        <w:t>20. Закључак</w:t>
      </w:r>
    </w:p>
    <w:p w14:paraId="2A2FD22B">
      <w:pPr>
        <w:pStyle w:val="3"/>
        <w:spacing w:before="240" w:after="240"/>
        <w:jc w:val="both"/>
      </w:pPr>
      <w:r>
        <w:t>Стратешки план Специјалне болнице Сокобања за период 2026</w:t>
      </w:r>
      <w:r>
        <w:rPr>
          <w:lang w:val="sr-Cyrl-RS"/>
        </w:rPr>
        <w:t xml:space="preserve"> </w:t>
      </w:r>
      <w:r>
        <w:t>–</w:t>
      </w:r>
      <w:r>
        <w:rPr>
          <w:lang w:val="sr-Cyrl-RS"/>
        </w:rPr>
        <w:t xml:space="preserve"> </w:t>
      </w:r>
      <w:r>
        <w:t xml:space="preserve">2029. представља свеобухватан оквир за унапређење пословања у области здравственог туризма и ефикасније коришћење комерцијалних капацитета. Његова имплементација ослања се на јасно дефинисане </w:t>
      </w:r>
      <w:r>
        <w:rPr>
          <w:i/>
        </w:rPr>
        <w:t>KPI</w:t>
      </w:r>
      <w:r>
        <w:t>-јеве, систем мониторинга, управљање ризицима и континуирано извештавање, чиме се осигурава транспарентност и одговорност према надлежним институцијама.</w:t>
      </w:r>
    </w:p>
    <w:p w14:paraId="079E82F5">
      <w:pPr>
        <w:pStyle w:val="3"/>
        <w:spacing w:before="240" w:after="240"/>
        <w:jc w:val="both"/>
      </w:pPr>
      <w:r>
        <w:t>Реализација овог плана подразумева симултано деловање у неколико праваца: модернизацију инфраструктуре, развој кадровских и маркетиншких капацитета, унапређење сарадње са туристичким и здравственим институцијама, као и повећање међународне препознатљивости Сокобање као дестинације здравственог туризма. Тиме се отвара могућност за значајан раст прихода, бољу искоришћеност постојећих ресурса и јачање позиције болнице као регионалног лидера.</w:t>
      </w:r>
    </w:p>
    <w:p w14:paraId="6712A17B">
      <w:pPr>
        <w:pStyle w:val="3"/>
        <w:spacing w:before="240" w:after="240"/>
        <w:jc w:val="both"/>
      </w:pPr>
      <w:r>
        <w:t>Закључно, овај документ не само да одговара захтевима ревизорског тела, већ и поставља темеље за одржив и дугорочан развој болнице, чинећи је поузданим партнером у здравственом и туристичком систему Србије и региона.</w:t>
      </w:r>
    </w:p>
    <w:p w14:paraId="50C9D987">
      <w:pPr>
        <w:pStyle w:val="3"/>
        <w:spacing w:before="240" w:after="240"/>
      </w:pPr>
    </w:p>
    <w:p w14:paraId="284462E9">
      <w:pPr>
        <w:pStyle w:val="3"/>
        <w:spacing w:before="240" w:after="240"/>
        <w:rPr>
          <w:lang w:val="sr-Cyrl-RS"/>
        </w:rPr>
        <w:sectPr>
          <w:pgSz w:w="12240" w:h="15840"/>
          <w:pgMar w:top="1440" w:right="1440" w:bottom="1440" w:left="1440" w:header="720" w:footer="720" w:gutter="0"/>
          <w:cols w:space="720" w:num="1"/>
        </w:sectPr>
      </w:pPr>
    </w:p>
    <w:p w14:paraId="516C2AA6">
      <w:pPr>
        <w:pStyle w:val="3"/>
        <w:spacing w:before="240" w:after="240"/>
        <w:jc w:val="center"/>
        <w:rPr>
          <w:lang w:val="sr-Cyrl-RS"/>
        </w:rPr>
      </w:pPr>
      <w:r>
        <w:rPr>
          <w:lang w:val="sr-Cyrl-RS"/>
        </w:rPr>
        <w:t>План израдио:</w:t>
      </w:r>
    </w:p>
    <w:p w14:paraId="60D80381">
      <w:pPr>
        <w:pStyle w:val="3"/>
        <w:spacing w:before="240" w:after="240"/>
        <w:jc w:val="center"/>
        <w:rPr>
          <w:lang w:val="sr-Cyrl-RS"/>
        </w:rPr>
      </w:pPr>
      <w:r>
        <w:rPr>
          <w:lang w:val="sr-Cyrl-RS"/>
        </w:rPr>
        <w:t>Никола Исаковић, дипл. економиста</w:t>
      </w:r>
    </w:p>
    <w:p w14:paraId="6FE68CF1">
      <w:pPr>
        <w:pStyle w:val="3"/>
        <w:spacing w:before="240" w:after="240"/>
        <w:rPr>
          <w:lang w:val="sr-Cyrl-RS"/>
        </w:rPr>
      </w:pPr>
    </w:p>
    <w:p w14:paraId="2E650206">
      <w:pPr>
        <w:pStyle w:val="3"/>
        <w:spacing w:before="240" w:after="240"/>
        <w:ind w:firstLine="851"/>
        <w:jc w:val="center"/>
        <w:rPr>
          <w:lang w:val="sr-Cyrl-RS"/>
        </w:rPr>
      </w:pPr>
      <w:r>
        <w:rPr>
          <w:lang w:val="sr-Cyrl-RS"/>
        </w:rPr>
        <w:t>в.д. директора</w:t>
      </w:r>
    </w:p>
    <w:p w14:paraId="1DD35D6C">
      <w:pPr>
        <w:pStyle w:val="3"/>
        <w:spacing w:before="240" w:after="240"/>
        <w:ind w:firstLine="851"/>
        <w:jc w:val="center"/>
        <w:rPr>
          <w:lang w:val="sr-Cyrl-RS"/>
        </w:rPr>
      </w:pPr>
      <w:r>
        <w:rPr>
          <w:lang w:val="sr-Cyrl-RS"/>
        </w:rPr>
        <w:t>др Ивана Филиповић</w:t>
      </w:r>
    </w:p>
    <w:p w14:paraId="62935C3C">
      <w:pPr>
        <w:pStyle w:val="3"/>
        <w:spacing w:before="240" w:after="240"/>
        <w:sectPr>
          <w:type w:val="continuous"/>
          <w:pgSz w:w="12240" w:h="15840"/>
          <w:pgMar w:top="1440" w:right="1440" w:bottom="1440" w:left="1440" w:header="720" w:footer="720" w:gutter="0"/>
          <w:cols w:space="720" w:num="2"/>
        </w:sectPr>
      </w:pPr>
    </w:p>
    <w:p w14:paraId="6AAAF4D2">
      <w:pPr>
        <w:pStyle w:val="3"/>
        <w:spacing w:before="240" w:after="240"/>
      </w:pPr>
    </w:p>
    <w:p w14:paraId="3B7F01E4">
      <w:pPr>
        <w:pStyle w:val="3"/>
      </w:pPr>
    </w:p>
    <w:sectPr>
      <w:type w:val="continuous"/>
      <w:pgSz w:w="12240" w:h="15840"/>
      <w:pgMar w:top="1440" w:right="1440" w:bottom="1440" w:left="144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979F299A-5139-4A8F-9E0E-6DA295BB22EE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84D0711-5B05-46E5-B648-5C3A2EBD7E92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D382B88-2C85-4CE1-847D-5DC8B55FEF0F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C56BC796-ECEB-448E-A83D-72D3AB507AB3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5" w:fontKey="{65981CE2-BD50-485B-A5C3-5AC8DCF21BC0}"/>
  </w:font>
  <w:font w:name="Arial Unicode MS">
    <w:altName w:val="Arial"/>
    <w:panose1 w:val="020B0604020202020204"/>
    <w:charset w:val="80"/>
    <w:family w:val="swiss"/>
    <w:pitch w:val="default"/>
    <w:sig w:usb0="00000000" w:usb1="00000000" w:usb2="0000003F" w:usb3="00000000" w:csb0="003F01FF" w:csb1="00000000"/>
    <w:embedRegular r:id="rId6" w:fontKey="{C417CDE1-BD1F-4E11-823D-43076FDE9BD5}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7" w:fontKey="{0C9DC9B7-57B5-4C58-B7B8-FA98A6F02DF2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D8B62F9">
    <w:pPr>
      <w:pStyle w:val="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36E974">
    <w:pPr>
      <w:pStyle w:val="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25E70B6"/>
    <w:multiLevelType w:val="multilevel"/>
    <w:tmpl w:val="025E70B6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2825B55"/>
    <w:multiLevelType w:val="multilevel"/>
    <w:tmpl w:val="02825B5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0288480B"/>
    <w:multiLevelType w:val="multilevel"/>
    <w:tmpl w:val="0288480B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417272C"/>
    <w:multiLevelType w:val="multilevel"/>
    <w:tmpl w:val="0417272C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04B12203"/>
    <w:multiLevelType w:val="multilevel"/>
    <w:tmpl w:val="04B1220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0C571C51"/>
    <w:multiLevelType w:val="multilevel"/>
    <w:tmpl w:val="0C571C51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0E7F4CE2"/>
    <w:multiLevelType w:val="multilevel"/>
    <w:tmpl w:val="0E7F4CE2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13333559"/>
    <w:multiLevelType w:val="multilevel"/>
    <w:tmpl w:val="13333559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>
    <w:nsid w:val="17D87398"/>
    <w:multiLevelType w:val="multilevel"/>
    <w:tmpl w:val="17D87398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194B0F49"/>
    <w:multiLevelType w:val="multilevel"/>
    <w:tmpl w:val="194B0F49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nsid w:val="19B26A68"/>
    <w:multiLevelType w:val="multilevel"/>
    <w:tmpl w:val="19B26A68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1B327BB8"/>
    <w:multiLevelType w:val="multilevel"/>
    <w:tmpl w:val="1B327BB8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1D91705D"/>
    <w:multiLevelType w:val="multilevel"/>
    <w:tmpl w:val="1D91705D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nsid w:val="1F373A20"/>
    <w:multiLevelType w:val="multilevel"/>
    <w:tmpl w:val="1F373A20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nsid w:val="2AE67B7F"/>
    <w:multiLevelType w:val="multilevel"/>
    <w:tmpl w:val="2AE67B7F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nsid w:val="2DEB55BD"/>
    <w:multiLevelType w:val="multilevel"/>
    <w:tmpl w:val="2DEB55BD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nsid w:val="31F41BCA"/>
    <w:multiLevelType w:val="multilevel"/>
    <w:tmpl w:val="31F41BCA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nsid w:val="32BD4344"/>
    <w:multiLevelType w:val="multilevel"/>
    <w:tmpl w:val="32BD4344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nsid w:val="32CD2D63"/>
    <w:multiLevelType w:val="multilevel"/>
    <w:tmpl w:val="32CD2D6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>
    <w:nsid w:val="377545FE"/>
    <w:multiLevelType w:val="multilevel"/>
    <w:tmpl w:val="377545F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>
    <w:nsid w:val="3790485E"/>
    <w:multiLevelType w:val="multilevel"/>
    <w:tmpl w:val="3790485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1">
    <w:nsid w:val="39D60983"/>
    <w:multiLevelType w:val="multilevel"/>
    <w:tmpl w:val="39D6098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2">
    <w:nsid w:val="3A0172AB"/>
    <w:multiLevelType w:val="multilevel"/>
    <w:tmpl w:val="3A0172AB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>
    <w:nsid w:val="3AEA57A6"/>
    <w:multiLevelType w:val="multilevel"/>
    <w:tmpl w:val="3AEA57A6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>
    <w:nsid w:val="3AF20C5E"/>
    <w:multiLevelType w:val="multilevel"/>
    <w:tmpl w:val="3AF20C5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5">
    <w:nsid w:val="424C1EDC"/>
    <w:multiLevelType w:val="multilevel"/>
    <w:tmpl w:val="424C1EDC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6">
    <w:nsid w:val="44FD59C3"/>
    <w:multiLevelType w:val="multilevel"/>
    <w:tmpl w:val="44FD59C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>
    <w:nsid w:val="45CF6B63"/>
    <w:multiLevelType w:val="multilevel"/>
    <w:tmpl w:val="45CF6B6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8">
    <w:nsid w:val="46DD3E75"/>
    <w:multiLevelType w:val="multilevel"/>
    <w:tmpl w:val="46DD3E7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>
    <w:nsid w:val="4E056296"/>
    <w:multiLevelType w:val="multilevel"/>
    <w:tmpl w:val="4E056296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>
    <w:nsid w:val="4EB83223"/>
    <w:multiLevelType w:val="multilevel"/>
    <w:tmpl w:val="4EB8322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>
    <w:nsid w:val="50CA2745"/>
    <w:multiLevelType w:val="multilevel"/>
    <w:tmpl w:val="50CA274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2">
    <w:nsid w:val="520B4648"/>
    <w:multiLevelType w:val="multilevel"/>
    <w:tmpl w:val="520B4648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3">
    <w:nsid w:val="53BC2973"/>
    <w:multiLevelType w:val="multilevel"/>
    <w:tmpl w:val="53BC2973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>
    <w:nsid w:val="53DC754E"/>
    <w:multiLevelType w:val="multilevel"/>
    <w:tmpl w:val="53DC754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>
    <w:nsid w:val="59E865BA"/>
    <w:multiLevelType w:val="multilevel"/>
    <w:tmpl w:val="59E865BA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6">
    <w:nsid w:val="60B55748"/>
    <w:multiLevelType w:val="multilevel"/>
    <w:tmpl w:val="60B55748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7">
    <w:nsid w:val="645C5E28"/>
    <w:multiLevelType w:val="multilevel"/>
    <w:tmpl w:val="645C5E28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8">
    <w:nsid w:val="6B4916E7"/>
    <w:multiLevelType w:val="multilevel"/>
    <w:tmpl w:val="6B4916E7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9">
    <w:nsid w:val="6E3C3CA9"/>
    <w:multiLevelType w:val="multilevel"/>
    <w:tmpl w:val="6E3C3CA9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0">
    <w:nsid w:val="713E2F9C"/>
    <w:multiLevelType w:val="multilevel"/>
    <w:tmpl w:val="713E2F9C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1">
    <w:nsid w:val="72F90B35"/>
    <w:multiLevelType w:val="multilevel"/>
    <w:tmpl w:val="72F90B3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2">
    <w:nsid w:val="7305625C"/>
    <w:multiLevelType w:val="multilevel"/>
    <w:tmpl w:val="7305625C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3">
    <w:nsid w:val="740819A1"/>
    <w:multiLevelType w:val="multilevel"/>
    <w:tmpl w:val="740819A1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4">
    <w:nsid w:val="77066C66"/>
    <w:multiLevelType w:val="multilevel"/>
    <w:tmpl w:val="77066C66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5">
    <w:nsid w:val="791D19DB"/>
    <w:multiLevelType w:val="multilevel"/>
    <w:tmpl w:val="791D19DB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6">
    <w:nsid w:val="79F90815"/>
    <w:multiLevelType w:val="multilevel"/>
    <w:tmpl w:val="79F9081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7">
    <w:nsid w:val="7AE446BB"/>
    <w:multiLevelType w:val="multilevel"/>
    <w:tmpl w:val="7AE446BB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8">
    <w:nsid w:val="7C10555F"/>
    <w:multiLevelType w:val="multilevel"/>
    <w:tmpl w:val="7C10555F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26"/>
  </w:num>
  <w:num w:numId="2">
    <w:abstractNumId w:val="2"/>
  </w:num>
  <w:num w:numId="3">
    <w:abstractNumId w:val="46"/>
  </w:num>
  <w:num w:numId="4">
    <w:abstractNumId w:val="28"/>
  </w:num>
  <w:num w:numId="5">
    <w:abstractNumId w:val="31"/>
  </w:num>
  <w:num w:numId="6">
    <w:abstractNumId w:val="30"/>
  </w:num>
  <w:num w:numId="7">
    <w:abstractNumId w:val="0"/>
  </w:num>
  <w:num w:numId="8">
    <w:abstractNumId w:val="25"/>
  </w:num>
  <w:num w:numId="9">
    <w:abstractNumId w:val="15"/>
  </w:num>
  <w:num w:numId="10">
    <w:abstractNumId w:val="14"/>
  </w:num>
  <w:num w:numId="11">
    <w:abstractNumId w:val="3"/>
  </w:num>
  <w:num w:numId="12">
    <w:abstractNumId w:val="19"/>
  </w:num>
  <w:num w:numId="13">
    <w:abstractNumId w:val="33"/>
  </w:num>
  <w:num w:numId="14">
    <w:abstractNumId w:val="17"/>
  </w:num>
  <w:num w:numId="15">
    <w:abstractNumId w:val="12"/>
  </w:num>
  <w:num w:numId="16">
    <w:abstractNumId w:val="6"/>
  </w:num>
  <w:num w:numId="17">
    <w:abstractNumId w:val="47"/>
  </w:num>
  <w:num w:numId="18">
    <w:abstractNumId w:val="42"/>
  </w:num>
  <w:num w:numId="19">
    <w:abstractNumId w:val="38"/>
  </w:num>
  <w:num w:numId="20">
    <w:abstractNumId w:val="7"/>
  </w:num>
  <w:num w:numId="21">
    <w:abstractNumId w:val="21"/>
  </w:num>
  <w:num w:numId="22">
    <w:abstractNumId w:val="11"/>
  </w:num>
  <w:num w:numId="23">
    <w:abstractNumId w:val="18"/>
  </w:num>
  <w:num w:numId="24">
    <w:abstractNumId w:val="32"/>
  </w:num>
  <w:num w:numId="25">
    <w:abstractNumId w:val="1"/>
  </w:num>
  <w:num w:numId="26">
    <w:abstractNumId w:val="44"/>
  </w:num>
  <w:num w:numId="27">
    <w:abstractNumId w:val="39"/>
  </w:num>
  <w:num w:numId="28">
    <w:abstractNumId w:val="22"/>
  </w:num>
  <w:num w:numId="29">
    <w:abstractNumId w:val="16"/>
  </w:num>
  <w:num w:numId="30">
    <w:abstractNumId w:val="4"/>
  </w:num>
  <w:num w:numId="31">
    <w:abstractNumId w:val="9"/>
  </w:num>
  <w:num w:numId="32">
    <w:abstractNumId w:val="8"/>
  </w:num>
  <w:num w:numId="33">
    <w:abstractNumId w:val="23"/>
  </w:num>
  <w:num w:numId="34">
    <w:abstractNumId w:val="34"/>
  </w:num>
  <w:num w:numId="35">
    <w:abstractNumId w:val="40"/>
  </w:num>
  <w:num w:numId="36">
    <w:abstractNumId w:val="24"/>
  </w:num>
  <w:num w:numId="37">
    <w:abstractNumId w:val="43"/>
  </w:num>
  <w:num w:numId="38">
    <w:abstractNumId w:val="20"/>
  </w:num>
  <w:num w:numId="39">
    <w:abstractNumId w:val="5"/>
  </w:num>
  <w:num w:numId="40">
    <w:abstractNumId w:val="41"/>
  </w:num>
  <w:num w:numId="41">
    <w:abstractNumId w:val="13"/>
  </w:num>
  <w:num w:numId="42">
    <w:abstractNumId w:val="45"/>
  </w:num>
  <w:num w:numId="43">
    <w:abstractNumId w:val="29"/>
  </w:num>
  <w:num w:numId="44">
    <w:abstractNumId w:val="36"/>
  </w:num>
  <w:num w:numId="45">
    <w:abstractNumId w:val="37"/>
  </w:num>
  <w:num w:numId="46">
    <w:abstractNumId w:val="48"/>
  </w:num>
  <w:num w:numId="47">
    <w:abstractNumId w:val="27"/>
  </w:num>
  <w:num w:numId="48">
    <w:abstractNumId w:val="35"/>
  </w:num>
  <w:num w:numId="4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9"/>
  <w:embedTrueTypeFonts/>
  <w:hideSpellingError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757"/>
    <w:rsid w:val="0011486B"/>
    <w:rsid w:val="00170B2A"/>
    <w:rsid w:val="002E1DA5"/>
    <w:rsid w:val="00671C99"/>
    <w:rsid w:val="006F0FF0"/>
    <w:rsid w:val="009263A5"/>
    <w:rsid w:val="009D6483"/>
    <w:rsid w:val="00B60D0A"/>
    <w:rsid w:val="00B97642"/>
    <w:rsid w:val="00C06757"/>
    <w:rsid w:val="00C27344"/>
    <w:rsid w:val="00D96AD0"/>
    <w:rsid w:val="00E568A1"/>
    <w:rsid w:val="00FA5A08"/>
    <w:rsid w:val="47BD21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sr-Latn-RS" w:eastAsia="en-US" w:bidi="ar-SA"/>
    </w:rPr>
  </w:style>
  <w:style w:type="paragraph" w:styleId="2">
    <w:name w:val="heading 1"/>
    <w:basedOn w:val="3"/>
    <w:next w:val="3"/>
    <w:uiPriority w:val="0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4">
    <w:name w:val="heading 2"/>
    <w:basedOn w:val="3"/>
    <w:next w:val="3"/>
    <w:uiPriority w:val="0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5">
    <w:name w:val="heading 3"/>
    <w:basedOn w:val="3"/>
    <w:next w:val="3"/>
    <w:uiPriority w:val="0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6">
    <w:name w:val="heading 4"/>
    <w:basedOn w:val="3"/>
    <w:next w:val="3"/>
    <w:uiPriority w:val="0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7">
    <w:name w:val="heading 5"/>
    <w:basedOn w:val="3"/>
    <w:next w:val="3"/>
    <w:uiPriority w:val="0"/>
    <w:pPr>
      <w:keepNext/>
      <w:keepLines/>
      <w:spacing w:before="240" w:after="80"/>
      <w:outlineLvl w:val="4"/>
    </w:pPr>
    <w:rPr>
      <w:color w:val="666666"/>
    </w:rPr>
  </w:style>
  <w:style w:type="paragraph" w:styleId="8">
    <w:name w:val="heading 6"/>
    <w:basedOn w:val="3"/>
    <w:next w:val="3"/>
    <w:uiPriority w:val="0"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9">
    <w:name w:val="Default Paragraph Font"/>
    <w:semiHidden/>
    <w:unhideWhenUsed/>
    <w:uiPriority w:val="1"/>
  </w:style>
  <w:style w:type="table" w:default="1" w:styleId="10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">
    <w:name w:val="Normal1"/>
    <w:uiPriority w:val="0"/>
    <w:pPr>
      <w:spacing w:line="276" w:lineRule="auto"/>
    </w:pPr>
    <w:rPr>
      <w:rFonts w:ascii="Arial" w:hAnsi="Arial" w:eastAsia="Arial" w:cs="Arial"/>
      <w:sz w:val="22"/>
      <w:szCs w:val="22"/>
      <w:lang w:val="sr-Latn-RS" w:eastAsia="en-US" w:bidi="ar-SA"/>
    </w:rPr>
  </w:style>
  <w:style w:type="paragraph" w:styleId="11">
    <w:name w:val="Balloon Text"/>
    <w:basedOn w:val="1"/>
    <w:link w:val="20"/>
    <w:semiHidden/>
    <w:unhideWhenUsed/>
    <w:uiPriority w:val="99"/>
    <w:pPr>
      <w:spacing w:line="240" w:lineRule="auto"/>
    </w:pPr>
    <w:rPr>
      <w:rFonts w:ascii="Tahoma" w:hAnsi="Tahoma" w:cs="Tahoma"/>
      <w:sz w:val="16"/>
      <w:szCs w:val="16"/>
    </w:rPr>
  </w:style>
  <w:style w:type="paragraph" w:styleId="12">
    <w:name w:val="Subtitle"/>
    <w:basedOn w:val="3"/>
    <w:next w:val="3"/>
    <w:uiPriority w:val="0"/>
    <w:pPr>
      <w:keepNext/>
      <w:keepLines/>
      <w:spacing w:after="320"/>
    </w:pPr>
    <w:rPr>
      <w:color w:val="666666"/>
      <w:sz w:val="30"/>
      <w:szCs w:val="30"/>
    </w:rPr>
  </w:style>
  <w:style w:type="paragraph" w:styleId="13">
    <w:name w:val="Title"/>
    <w:basedOn w:val="3"/>
    <w:next w:val="3"/>
    <w:uiPriority w:val="0"/>
    <w:pPr>
      <w:keepNext/>
      <w:keepLines/>
      <w:spacing w:after="60"/>
    </w:pPr>
    <w:rPr>
      <w:sz w:val="52"/>
      <w:szCs w:val="52"/>
    </w:rPr>
  </w:style>
  <w:style w:type="table" w:customStyle="1" w:styleId="14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5">
    <w:name w:val="_Style 13"/>
    <w:basedOn w:val="14"/>
    <w:uiPriority w:val="0"/>
  </w:style>
  <w:style w:type="table" w:customStyle="1" w:styleId="16">
    <w:name w:val="_Style 14"/>
    <w:basedOn w:val="14"/>
    <w:uiPriority w:val="0"/>
  </w:style>
  <w:style w:type="table" w:customStyle="1" w:styleId="17">
    <w:name w:val="_Style 15"/>
    <w:basedOn w:val="14"/>
    <w:uiPriority w:val="0"/>
  </w:style>
  <w:style w:type="table" w:customStyle="1" w:styleId="18">
    <w:name w:val="_Style 16"/>
    <w:basedOn w:val="14"/>
    <w:uiPriority w:val="0"/>
  </w:style>
  <w:style w:type="table" w:customStyle="1" w:styleId="19">
    <w:name w:val="_Style 17"/>
    <w:basedOn w:val="14"/>
    <w:uiPriority w:val="0"/>
  </w:style>
  <w:style w:type="character" w:customStyle="1" w:styleId="20">
    <w:name w:val="Balloon Text Char"/>
    <w:basedOn w:val="9"/>
    <w:link w:val="11"/>
    <w:semiHidden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35</Pages>
  <Words>9675</Words>
  <Characters>55149</Characters>
  <Lines>459</Lines>
  <Paragraphs>129</Paragraphs>
  <TotalTime>2</TotalTime>
  <ScaleCrop>false</ScaleCrop>
  <LinksUpToDate>false</LinksUpToDate>
  <CharactersWithSpaces>64695</CharactersWithSpaces>
  <Application>WPS Office_12.2.0.23196_F1E327BC-269C-435d-A152-05C5408002CA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2026-04-22T08:27:00Z</dcterms:created>
  <dc:creator>Ivana</dc:creator>
  <cp:lastModifiedBy>micee70</cp:lastModifiedBy>
  <dcterms:modified xsi:type="dcterms:W3CDTF">2026-04-22T13:47:58Z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1033-12.2.0.23196</vt:lpwstr>
  </property>
  <property fmtid="{D5CDD505-2E9C-101B-9397-08002B2CF9AE}" pid="3" name="ICV">
    <vt:lpwstr>542473E2E72F4A2DA32C33591A748A5F_13</vt:lpwstr>
  </property>
</Properties>
</file>